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861" w:rsidRDefault="00C85334">
      <w:pPr>
        <w:tabs>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Template update October 2024 </w:t>
      </w:r>
    </w:p>
    <w:p w:rsidR="00AA6861" w:rsidRDefault="00AA6861">
      <w:pPr>
        <w:tabs>
          <w:tab w:val="right" w:pos="9360"/>
        </w:tabs>
        <w:spacing w:after="0" w:line="240" w:lineRule="auto"/>
        <w:rPr>
          <w:rFonts w:ascii="Times New Roman" w:eastAsia="Times New Roman" w:hAnsi="Times New Roman" w:cs="Times New Roman"/>
          <w:color w:val="000000"/>
        </w:rPr>
      </w:pPr>
    </w:p>
    <w:p w:rsidR="00AA6861" w:rsidRDefault="00C85334">
      <w:pPr>
        <w:tabs>
          <w:tab w:val="right" w:pos="9360"/>
        </w:tabs>
        <w:spacing w:after="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rPr>
        <w:t xml:space="preserve">Legal Framework:  DYSLEXIA </w:t>
      </w:r>
      <w:r w:rsidRPr="00212290">
        <w:rPr>
          <w:rFonts w:ascii="Times New Roman" w:eastAsia="Times New Roman" w:hAnsi="Times New Roman" w:cs="Times New Roman"/>
          <w:color w:val="000000"/>
          <w:sz w:val="22"/>
          <w:szCs w:val="22"/>
        </w:rPr>
        <w:t>AND RELATED DISORDERS</w:t>
      </w:r>
    </w:p>
    <w:p w:rsidR="00AA6861" w:rsidRDefault="004B3A45">
      <w:pPr>
        <w:tabs>
          <w:tab w:val="right" w:pos="9360"/>
        </w:tabs>
        <w:spacing w:after="0" w:line="240" w:lineRule="auto"/>
        <w:rPr>
          <w:rFonts w:ascii="Times New Roman" w:eastAsia="Times New Roman" w:hAnsi="Times New Roman" w:cs="Times New Roman"/>
          <w:color w:val="000000"/>
          <w:sz w:val="22"/>
          <w:szCs w:val="22"/>
        </w:rPr>
      </w:pPr>
      <w:hyperlink r:id="rId7">
        <w:r w:rsidR="00C85334">
          <w:rPr>
            <w:rFonts w:ascii="Times New Roman" w:eastAsia="Times New Roman" w:hAnsi="Times New Roman" w:cs="Times New Roman"/>
            <w:color w:val="1155CC"/>
            <w:sz w:val="22"/>
            <w:szCs w:val="22"/>
            <w:u w:val="single"/>
          </w:rPr>
          <w:t>Related Resources</w:t>
        </w:r>
      </w:hyperlink>
    </w:p>
    <w:p w:rsidR="00AA6861" w:rsidRDefault="00C85334">
      <w:pPr>
        <w:tabs>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Broad Category: CHILD FIND</w:t>
      </w:r>
      <w:r>
        <w:rPr>
          <w:rFonts w:ascii="Times New Roman" w:eastAsia="Times New Roman" w:hAnsi="Times New Roman" w:cs="Times New Roman"/>
          <w:color w:val="000099"/>
          <w:sz w:val="22"/>
          <w:szCs w:val="22"/>
        </w:rPr>
        <w:tab/>
      </w:r>
    </w:p>
    <w:p w:rsidR="00AA6861" w:rsidRDefault="004B3A45">
      <w:pPr>
        <w:spacing w:after="0" w:line="240" w:lineRule="auto"/>
        <w:rPr>
          <w:rFonts w:ascii="Times New Roman" w:eastAsia="Times New Roman" w:hAnsi="Times New Roman" w:cs="Times New Roman"/>
          <w:color w:val="000000"/>
          <w:sz w:val="22"/>
          <w:szCs w:val="22"/>
        </w:rPr>
      </w:pPr>
      <w:bookmarkStart w:id="0" w:name="_gjdgxs" w:colFirst="0" w:colLast="0"/>
      <w:bookmarkEnd w:id="0"/>
      <w:r>
        <w:pict w14:anchorId="2CEA8227">
          <v:rect id="_x0000_i1025" style="width:0;height:1.5pt" o:hralign="center" o:hrstd="t" o:hr="t" fillcolor="#a0a0a0" stroked="f"/>
        </w:pict>
      </w:r>
    </w:p>
    <w:p w:rsidR="00AA6861" w:rsidRDefault="00AA6861">
      <w:pPr>
        <w:spacing w:after="0" w:line="240" w:lineRule="auto"/>
        <w:rPr>
          <w:rFonts w:ascii="Times New Roman" w:eastAsia="Times New Roman" w:hAnsi="Times New Roman" w:cs="Times New Roman"/>
          <w:color w:val="000000"/>
          <w:sz w:val="22"/>
          <w:szCs w:val="22"/>
        </w:rPr>
      </w:pPr>
    </w:p>
    <w:p w:rsidR="00AA6861" w:rsidRDefault="00C85334">
      <w:p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PROCEDURES:</w:t>
      </w:r>
    </w:p>
    <w:p w:rsidR="00212290" w:rsidRPr="00912F12" w:rsidRDefault="00212290" w:rsidP="00212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auto"/>
          <w:sz w:val="24"/>
        </w:rPr>
      </w:pPr>
      <w:r w:rsidRPr="00912F12">
        <w:rPr>
          <w:rFonts w:ascii="Calibri" w:hAnsi="Calibri" w:cs="Calibri"/>
          <w:color w:val="auto"/>
          <w:sz w:val="24"/>
        </w:rPr>
        <w:t xml:space="preserve">The </w:t>
      </w:r>
      <w:r w:rsidR="002F1D46">
        <w:rPr>
          <w:rFonts w:ascii="Calibri" w:hAnsi="Calibri" w:cs="Calibri"/>
          <w:color w:val="auto"/>
          <w:sz w:val="24"/>
        </w:rPr>
        <w:t>RCSS</w:t>
      </w:r>
      <w:r w:rsidR="004B7ED2">
        <w:rPr>
          <w:rFonts w:ascii="Calibri" w:hAnsi="Calibri" w:cs="Calibri"/>
          <w:color w:val="auto"/>
          <w:sz w:val="24"/>
        </w:rPr>
        <w:t xml:space="preserve"> Co-op</w:t>
      </w:r>
      <w:r w:rsidR="002F1D46">
        <w:rPr>
          <w:rFonts w:ascii="Calibri" w:hAnsi="Calibri" w:cs="Calibri"/>
          <w:color w:val="auto"/>
          <w:sz w:val="24"/>
        </w:rPr>
        <w:t>/</w:t>
      </w:r>
      <w:r w:rsidRPr="00912F12">
        <w:rPr>
          <w:rFonts w:ascii="Calibri" w:hAnsi="Calibri" w:cs="Calibri"/>
          <w:color w:val="auto"/>
          <w:sz w:val="24"/>
        </w:rPr>
        <w:t>LEA will comply with all federal and state requirements, which includes any and all requirements outlined in the current Dyslexia Handbook that is adopted by the State Board of Education and published by the TEA.</w:t>
      </w:r>
    </w:p>
    <w:p w:rsidR="00212290" w:rsidRPr="00912F12" w:rsidRDefault="00212290" w:rsidP="00212290">
      <w:pPr>
        <w:shd w:val="clear" w:color="auto" w:fill="FFFFFF"/>
        <w:spacing w:after="0" w:line="240" w:lineRule="auto"/>
        <w:rPr>
          <w:rFonts w:ascii="Calibri" w:eastAsia="Times New Roman" w:hAnsi="Calibri" w:cs="Calibri"/>
          <w:iCs/>
          <w:color w:val="auto"/>
          <w:sz w:val="24"/>
        </w:rPr>
      </w:pPr>
      <w:r w:rsidRPr="00912F12">
        <w:rPr>
          <w:rFonts w:ascii="Calibri" w:eastAsia="Times New Roman" w:hAnsi="Calibri" w:cs="Calibri"/>
          <w:iCs/>
          <w:color w:val="auto"/>
          <w:sz w:val="24"/>
        </w:rPr>
        <w:t xml:space="preserve">The Special Education Department will provide training to each campus Child Find designee on procedures related to evaluation and services for students with dyslexia on an </w:t>
      </w:r>
      <w:r w:rsidRPr="00912F12">
        <w:rPr>
          <w:rFonts w:ascii="Calibri" w:hAnsi="Calibri" w:cs="Calibri"/>
          <w:iCs/>
          <w:color w:val="auto"/>
          <w:sz w:val="24"/>
        </w:rPr>
        <w:t>annual basis that is in accordance with the most current Dyslexia Handbook adopted by the State Board of Education and published by TEA.</w:t>
      </w:r>
    </w:p>
    <w:p w:rsidR="00212290" w:rsidRPr="00912F12" w:rsidRDefault="00212290" w:rsidP="00212290">
      <w:pPr>
        <w:shd w:val="clear" w:color="auto" w:fill="FFFFFF"/>
        <w:spacing w:after="0" w:line="240" w:lineRule="auto"/>
        <w:rPr>
          <w:rFonts w:ascii="Calibri" w:hAnsi="Calibri" w:cs="Calibri"/>
          <w:iCs/>
          <w:color w:val="auto"/>
          <w:sz w:val="24"/>
        </w:rPr>
      </w:pPr>
      <w:r w:rsidRPr="00912F12">
        <w:rPr>
          <w:rFonts w:ascii="Calibri" w:hAnsi="Calibri" w:cs="Calibri"/>
          <w:iCs/>
          <w:color w:val="auto"/>
          <w:sz w:val="24"/>
        </w:rPr>
        <w:t>Prior to a referral for a full individual and initial evaluation, students who are struggling in the general education setting should be considered for any academic and/or behavior support services as part of the campus’ response to intervention system.  If the student continues to have difficulty after interventions are provided, the student must be referred for a full individual initial evaluation for special education. This includes all students suspected of having dyslexia. Any and all progress monitoring data collected will be provided as part of the referral.  Response to intervention strategies may not be used to delay or deny a full individual and initial evaluation and services to any student suspected of having a disability, this includes those suspected of having dyslexia.</w:t>
      </w:r>
    </w:p>
    <w:p w:rsidR="00212290" w:rsidRPr="00912F12" w:rsidRDefault="00212290" w:rsidP="00212290">
      <w:pPr>
        <w:shd w:val="clear" w:color="auto" w:fill="FFFFFF"/>
        <w:spacing w:after="0" w:line="240" w:lineRule="auto"/>
        <w:rPr>
          <w:rFonts w:ascii="Calibri" w:hAnsi="Calibri" w:cs="Calibri"/>
          <w:iCs/>
          <w:color w:val="auto"/>
          <w:sz w:val="24"/>
        </w:rPr>
      </w:pPr>
      <w:r w:rsidRPr="00912F12">
        <w:rPr>
          <w:rFonts w:ascii="Calibri" w:hAnsi="Calibri" w:cs="Calibri"/>
          <w:iCs/>
          <w:color w:val="auto"/>
          <w:sz w:val="24"/>
        </w:rPr>
        <w:t>Dyslexia and related disorders meet the definition of a specific learning disability under the Individuals with Disabilities Education Act (20 U.S.C. Section 1401(30)).  If the LEA suspects or has reason to suspect that a student may have dyslexia the LEA must provide the student’s parent or guardian a form developed by TEA explaining the rights available under the IDEA that may be additional to the rights available under Section 504 of the Rehabilitation Act of 1973 (29 U.S.C. Section 794)</w:t>
      </w:r>
    </w:p>
    <w:p w:rsidR="00212290" w:rsidRDefault="00212290" w:rsidP="00212290">
      <w:pPr>
        <w:shd w:val="clear" w:color="auto" w:fill="FFFFFF"/>
        <w:spacing w:after="0" w:line="240" w:lineRule="auto"/>
        <w:rPr>
          <w:rFonts w:ascii="Calibri" w:hAnsi="Calibri" w:cs="Calibri"/>
          <w:iCs/>
          <w:color w:val="auto"/>
          <w:sz w:val="24"/>
        </w:rPr>
      </w:pPr>
      <w:r w:rsidRPr="00912F12">
        <w:rPr>
          <w:rFonts w:ascii="Calibri" w:hAnsi="Calibri" w:cs="Calibri"/>
          <w:iCs/>
          <w:color w:val="auto"/>
          <w:sz w:val="24"/>
        </w:rPr>
        <w:t>The full initial and individual evaluation for special education services will adhere to all the requirements for referral and evaluation as outlined in state and federal regulations and any additional guidelines for dyslexia evaluation that are required by the current Dyslexia Handbook published by TEA. This includes the requirement to evaluate in all areas of suspected disability. As required by state and federal regulations, the Admission Review and Dismissal (ARD/IEP) Committee will meet to determine eligibility for special education and related services and will also be responsible for developing the IEP for the student.</w:t>
      </w:r>
    </w:p>
    <w:p w:rsidR="00212290" w:rsidRPr="00912F12" w:rsidRDefault="00212290" w:rsidP="00212290">
      <w:pPr>
        <w:shd w:val="clear" w:color="auto" w:fill="FFFFFF"/>
        <w:spacing w:after="0" w:line="240" w:lineRule="auto"/>
        <w:rPr>
          <w:rFonts w:ascii="Calibri" w:hAnsi="Calibri" w:cs="Calibri"/>
          <w:iCs/>
          <w:color w:val="auto"/>
          <w:sz w:val="24"/>
        </w:rPr>
      </w:pPr>
      <w:r w:rsidRPr="00912F12">
        <w:rPr>
          <w:rFonts w:ascii="Calibri" w:hAnsi="Calibri" w:cs="Calibri"/>
          <w:iCs/>
          <w:color w:val="auto"/>
          <w:sz w:val="24"/>
        </w:rPr>
        <w:lastRenderedPageBreak/>
        <w:t>The multidisciplinary evaluation team and any subsequent team that convenes to determine a student’s eligibility for special education and related services must include at least one member with specific knowledge regarding the process of reading, dyslexia and related disorders and be knowledgeable in the area of dyslexia instruction.  This member must sign a document describing their participation in the evaluation and development of the Individualized Education Program for the student. This member must:</w:t>
      </w:r>
    </w:p>
    <w:p w:rsidR="00212290" w:rsidRPr="00912F12" w:rsidRDefault="00212290" w:rsidP="00212290">
      <w:pPr>
        <w:pStyle w:val="ListParagraph1"/>
        <w:numPr>
          <w:ilvl w:val="0"/>
          <w:numId w:val="5"/>
        </w:numPr>
        <w:shd w:val="clear" w:color="auto" w:fill="FFFFFF"/>
        <w:rPr>
          <w:rFonts w:ascii="Calibri" w:hAnsi="Calibri" w:cs="Calibri"/>
          <w:iCs/>
        </w:rPr>
      </w:pPr>
      <w:r w:rsidRPr="00912F12">
        <w:rPr>
          <w:rFonts w:ascii="Calibri" w:hAnsi="Calibri" w:cs="Calibri"/>
        </w:rPr>
        <w:t xml:space="preserve">Be a </w:t>
      </w:r>
      <w:proofErr w:type="gramStart"/>
      <w:r w:rsidRPr="00912F12">
        <w:rPr>
          <w:rFonts w:ascii="Calibri" w:hAnsi="Calibri" w:cs="Calibri"/>
        </w:rPr>
        <w:t>licensed dyslexia</w:t>
      </w:r>
      <w:proofErr w:type="gramEnd"/>
      <w:r w:rsidRPr="00912F12">
        <w:rPr>
          <w:rFonts w:ascii="Calibri" w:hAnsi="Calibri" w:cs="Calibri"/>
        </w:rPr>
        <w:t xml:space="preserve"> therapist (LDT); </w:t>
      </w:r>
    </w:p>
    <w:p w:rsidR="00212290" w:rsidRPr="00912F12" w:rsidRDefault="00212290" w:rsidP="00212290">
      <w:pPr>
        <w:pStyle w:val="ListParagraph1"/>
        <w:numPr>
          <w:ilvl w:val="0"/>
          <w:numId w:val="5"/>
        </w:numPr>
        <w:shd w:val="clear" w:color="auto" w:fill="FFFFFF"/>
        <w:rPr>
          <w:rFonts w:ascii="Calibri" w:hAnsi="Calibri" w:cs="Calibri"/>
          <w:iCs/>
        </w:rPr>
      </w:pPr>
      <w:r w:rsidRPr="00912F12">
        <w:rPr>
          <w:rFonts w:ascii="Calibri" w:hAnsi="Calibri" w:cs="Calibri"/>
        </w:rPr>
        <w:t xml:space="preserve">Be someone who has received training or certification from: </w:t>
      </w:r>
    </w:p>
    <w:p w:rsidR="00212290" w:rsidRPr="00912F12" w:rsidRDefault="00212290" w:rsidP="00212290">
      <w:pPr>
        <w:pStyle w:val="ListParagraph1"/>
        <w:numPr>
          <w:ilvl w:val="0"/>
          <w:numId w:val="7"/>
        </w:numPr>
        <w:shd w:val="clear" w:color="auto" w:fill="FFFFFF"/>
        <w:rPr>
          <w:rFonts w:ascii="Calibri" w:hAnsi="Calibri" w:cs="Calibri"/>
          <w:iCs/>
        </w:rPr>
      </w:pPr>
      <w:r w:rsidRPr="00912F12">
        <w:rPr>
          <w:rFonts w:ascii="Calibri" w:hAnsi="Calibri" w:cs="Calibri"/>
        </w:rPr>
        <w:t xml:space="preserve">The Academic Language Therapy Association (ALTA); </w:t>
      </w:r>
    </w:p>
    <w:p w:rsidR="00212290" w:rsidRPr="00912F12" w:rsidRDefault="00212290" w:rsidP="00212290">
      <w:pPr>
        <w:pStyle w:val="ListParagraph1"/>
        <w:numPr>
          <w:ilvl w:val="0"/>
          <w:numId w:val="7"/>
        </w:numPr>
        <w:shd w:val="clear" w:color="auto" w:fill="FFFFFF"/>
        <w:rPr>
          <w:rFonts w:ascii="Calibri" w:hAnsi="Calibri" w:cs="Calibri"/>
          <w:iCs/>
        </w:rPr>
      </w:pPr>
      <w:r w:rsidRPr="00912F12">
        <w:rPr>
          <w:rFonts w:ascii="Calibri" w:hAnsi="Calibri" w:cs="Calibri"/>
        </w:rPr>
        <w:t xml:space="preserve">International Dyslexia Association (IDA); </w:t>
      </w:r>
    </w:p>
    <w:p w:rsidR="00212290" w:rsidRPr="00912F12" w:rsidRDefault="00212290" w:rsidP="00212290">
      <w:pPr>
        <w:pStyle w:val="ListParagraph1"/>
        <w:numPr>
          <w:ilvl w:val="0"/>
          <w:numId w:val="7"/>
        </w:numPr>
        <w:shd w:val="clear" w:color="auto" w:fill="FFFFFF"/>
        <w:rPr>
          <w:rFonts w:ascii="Calibri" w:hAnsi="Calibri" w:cs="Calibri"/>
          <w:iCs/>
        </w:rPr>
      </w:pPr>
      <w:r w:rsidRPr="00912F12">
        <w:rPr>
          <w:rFonts w:ascii="Calibri" w:hAnsi="Calibri" w:cs="Calibri"/>
        </w:rPr>
        <w:t xml:space="preserve">Orton </w:t>
      </w:r>
      <w:proofErr w:type="spellStart"/>
      <w:r w:rsidRPr="00912F12">
        <w:rPr>
          <w:rFonts w:ascii="Calibri" w:hAnsi="Calibri" w:cs="Calibri"/>
        </w:rPr>
        <w:t>Gillingham</w:t>
      </w:r>
      <w:proofErr w:type="spellEnd"/>
      <w:r w:rsidRPr="00912F12">
        <w:rPr>
          <w:rFonts w:ascii="Calibri" w:hAnsi="Calibri" w:cs="Calibri"/>
        </w:rPr>
        <w:t xml:space="preserve"> Academy; </w:t>
      </w:r>
    </w:p>
    <w:p w:rsidR="00212290" w:rsidRPr="00912F12" w:rsidRDefault="00212290" w:rsidP="00212290">
      <w:pPr>
        <w:pStyle w:val="ListParagraph1"/>
        <w:numPr>
          <w:ilvl w:val="0"/>
          <w:numId w:val="7"/>
        </w:numPr>
        <w:shd w:val="clear" w:color="auto" w:fill="FFFFFF"/>
        <w:rPr>
          <w:rFonts w:ascii="Calibri" w:hAnsi="Calibri" w:cs="Calibri"/>
          <w:iCs/>
        </w:rPr>
      </w:pPr>
      <w:r w:rsidRPr="00912F12">
        <w:rPr>
          <w:rFonts w:ascii="Calibri" w:hAnsi="Calibri" w:cs="Calibri"/>
        </w:rPr>
        <w:t xml:space="preserve">Wilson Language Training; or </w:t>
      </w:r>
    </w:p>
    <w:p w:rsidR="00212290" w:rsidRPr="00912F12" w:rsidRDefault="00212290" w:rsidP="00212290">
      <w:pPr>
        <w:pStyle w:val="ListParagraph1"/>
        <w:numPr>
          <w:ilvl w:val="0"/>
          <w:numId w:val="5"/>
        </w:numPr>
        <w:shd w:val="clear" w:color="auto" w:fill="FFFFFF"/>
        <w:rPr>
          <w:rFonts w:ascii="Calibri" w:hAnsi="Calibri" w:cs="Calibri"/>
        </w:rPr>
      </w:pPr>
      <w:r w:rsidRPr="00912F12">
        <w:rPr>
          <w:rFonts w:ascii="Calibri" w:hAnsi="Calibri" w:cs="Calibri"/>
        </w:rPr>
        <w:t xml:space="preserve">Be someone who has received training through an International Multisensory Structured Language Education Council (IMSLEC) - accredited training center at the teaching or therapy level; </w:t>
      </w:r>
    </w:p>
    <w:p w:rsidR="00212290" w:rsidRPr="00912F12" w:rsidRDefault="00212290" w:rsidP="00212290">
      <w:pPr>
        <w:pStyle w:val="ListParagraph1"/>
        <w:shd w:val="clear" w:color="auto" w:fill="FFFFFF"/>
        <w:ind w:left="0"/>
        <w:rPr>
          <w:rFonts w:ascii="Calibri" w:hAnsi="Calibri" w:cs="Calibri"/>
        </w:rPr>
      </w:pPr>
      <w:r w:rsidRPr="00912F12">
        <w:rPr>
          <w:rFonts w:ascii="Calibri" w:hAnsi="Calibri" w:cs="Calibri"/>
        </w:rPr>
        <w:t xml:space="preserve">Only if the individuals who possess the credentials above are not available may another individual serve in this role. To serve in this role when those above are not available, the individual, within one calendar year of being designated, must: </w:t>
      </w:r>
    </w:p>
    <w:p w:rsidR="00212290" w:rsidRPr="00912F12" w:rsidRDefault="00212290" w:rsidP="00212290">
      <w:pPr>
        <w:pStyle w:val="ListParagraph1"/>
        <w:shd w:val="clear" w:color="auto" w:fill="FFFFFF"/>
        <w:ind w:left="0"/>
        <w:rPr>
          <w:rFonts w:ascii="Calibri" w:hAnsi="Calibri" w:cs="Calibri"/>
          <w:iCs/>
        </w:rPr>
      </w:pPr>
      <w:r w:rsidRPr="00912F12">
        <w:rPr>
          <w:rFonts w:ascii="Calibri" w:hAnsi="Calibri" w:cs="Calibri"/>
        </w:rPr>
        <w:t>• Register and complete the Texas Dyslexia Academies (TDAs)</w:t>
      </w:r>
    </w:p>
    <w:p w:rsidR="00212290" w:rsidRPr="00912F12" w:rsidRDefault="00212290" w:rsidP="00212290">
      <w:pPr>
        <w:pStyle w:val="ListParagraph1"/>
        <w:shd w:val="clear" w:color="auto" w:fill="FFFFFF"/>
        <w:ind w:left="0"/>
        <w:rPr>
          <w:rFonts w:ascii="Calibri" w:hAnsi="Calibri" w:cs="Calibri"/>
        </w:rPr>
      </w:pPr>
      <w:r w:rsidRPr="00912F12">
        <w:rPr>
          <w:rFonts w:ascii="Calibri" w:hAnsi="Calibri" w:cs="Calibri"/>
        </w:rPr>
        <w:t xml:space="preserve">• Register and complete the TEA’s Guidance for the Comprehensive Evaluation of an SLD; and </w:t>
      </w:r>
    </w:p>
    <w:p w:rsidR="00212290" w:rsidRPr="00912F12" w:rsidRDefault="00212290" w:rsidP="00212290">
      <w:pPr>
        <w:pStyle w:val="ListParagraph1"/>
        <w:shd w:val="clear" w:color="auto" w:fill="FFFFFF"/>
        <w:ind w:left="0"/>
        <w:rPr>
          <w:rFonts w:ascii="Calibri" w:hAnsi="Calibri" w:cs="Calibri"/>
          <w:iCs/>
        </w:rPr>
      </w:pPr>
      <w:r w:rsidRPr="00912F12">
        <w:rPr>
          <w:rFonts w:ascii="Calibri" w:hAnsi="Calibri" w:cs="Calibri"/>
        </w:rPr>
        <w:t>• Document that the individual has training in current research and evidence-based assessments that are used to identify the most common characteristics of dyslexia</w:t>
      </w:r>
      <w:r w:rsidRPr="00912F12">
        <w:rPr>
          <w:rFonts w:ascii="Calibri" w:hAnsi="Calibri" w:cs="Calibri"/>
          <w:iCs/>
        </w:rPr>
        <w:t xml:space="preserve"> </w:t>
      </w:r>
    </w:p>
    <w:p w:rsidR="00212290" w:rsidRPr="00912F12" w:rsidRDefault="00212290" w:rsidP="00212290">
      <w:pPr>
        <w:pStyle w:val="ListParagraph1"/>
        <w:shd w:val="clear" w:color="auto" w:fill="FFFFFF"/>
        <w:ind w:left="0"/>
        <w:rPr>
          <w:rFonts w:ascii="Calibri" w:hAnsi="Calibri" w:cs="Calibri"/>
          <w:iCs/>
        </w:rPr>
      </w:pPr>
    </w:p>
    <w:p w:rsidR="00212290" w:rsidRPr="00212290" w:rsidRDefault="00212290" w:rsidP="00212290">
      <w:pPr>
        <w:pStyle w:val="ListParagraph1"/>
        <w:shd w:val="clear" w:color="auto" w:fill="FFFFFF"/>
        <w:ind w:left="0"/>
        <w:rPr>
          <w:rFonts w:ascii="Calibri" w:hAnsi="Calibri" w:cs="Calibri"/>
          <w:iCs/>
        </w:rPr>
      </w:pPr>
      <w:r w:rsidRPr="00212290">
        <w:rPr>
          <w:rFonts w:ascii="Calibri" w:hAnsi="Calibri" w:cs="Calibri"/>
          <w:iCs/>
        </w:rPr>
        <w:t>Early Identification</w:t>
      </w:r>
    </w:p>
    <w:p w:rsidR="00212290" w:rsidRPr="00212290" w:rsidRDefault="00212290" w:rsidP="00212290">
      <w:pPr>
        <w:spacing w:line="240" w:lineRule="auto"/>
        <w:rPr>
          <w:rFonts w:ascii="Calibri" w:hAnsi="Calibri" w:cs="Calibri"/>
          <w:color w:val="auto"/>
          <w:sz w:val="24"/>
        </w:rPr>
      </w:pPr>
      <w:r w:rsidRPr="00212290">
        <w:rPr>
          <w:rFonts w:ascii="Calibri" w:hAnsi="Calibri" w:cs="Calibri"/>
          <w:iCs/>
          <w:color w:val="auto"/>
          <w:sz w:val="24"/>
        </w:rPr>
        <w:t xml:space="preserve">Students may be referred for a full individual and initial evaluation through a dyslexia screening procedure provided to all students in grade levels that are identified by state regulations or the LEA’s specific requirements.  </w:t>
      </w:r>
      <w:r w:rsidRPr="00212290">
        <w:rPr>
          <w:rFonts w:ascii="Calibri" w:hAnsi="Calibri" w:cs="Calibri"/>
          <w:color w:val="auto"/>
          <w:sz w:val="24"/>
        </w:rPr>
        <w:t>All students will undergo a universal screening process at the beginning of the school year to identify those at risk for dyslexia and related disorders. Teachers will receive training on identifying early warning signs of dyslexia in the classroom. Students identified as at risk will receive targeted interventions using research-based practices. Progress will be monitored regularly.</w:t>
      </w:r>
    </w:p>
    <w:p w:rsidR="00212290" w:rsidRPr="00212290" w:rsidRDefault="00212290" w:rsidP="00212290">
      <w:pPr>
        <w:pStyle w:val="ListParagraph1"/>
        <w:shd w:val="clear" w:color="auto" w:fill="FFFFFF"/>
        <w:ind w:left="360"/>
        <w:rPr>
          <w:rFonts w:ascii="Calibri" w:hAnsi="Calibri" w:cs="Calibri"/>
          <w:iCs/>
        </w:rPr>
      </w:pP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Parent Information and Rights</w:t>
      </w: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 xml:space="preserve">Parents may also request a referral for a full individual and initial evaluation for dyslexia or related disorder at any time.  Parents of all students suspected of dyslexia will be notified by the local campus designee and provided information </w:t>
      </w:r>
      <w:r w:rsidRPr="00212290">
        <w:rPr>
          <w:rFonts w:ascii="Calibri" w:hAnsi="Calibri" w:cs="Calibri"/>
          <w:color w:val="auto"/>
          <w:sz w:val="24"/>
        </w:rPr>
        <w:t xml:space="preserve">required by 19 TAC §74.28(f), including </w:t>
      </w:r>
      <w:r w:rsidRPr="00212290">
        <w:rPr>
          <w:rFonts w:ascii="Calibri" w:hAnsi="Calibri" w:cs="Calibri"/>
          <w:color w:val="auto"/>
          <w:sz w:val="24"/>
        </w:rPr>
        <w:lastRenderedPageBreak/>
        <w:t>their rights regarding dyslexia evaluation and intervention wh</w:t>
      </w:r>
      <w:r w:rsidRPr="00212290">
        <w:rPr>
          <w:rFonts w:ascii="Calibri" w:hAnsi="Calibri" w:cs="Calibri"/>
          <w:iCs/>
          <w:color w:val="auto"/>
          <w:sz w:val="24"/>
        </w:rPr>
        <w:t xml:space="preserve">ich align with the current Dyslexia Handbook published by TEA. </w:t>
      </w:r>
      <w:r w:rsidRPr="00212290">
        <w:rPr>
          <w:rFonts w:ascii="Calibri" w:hAnsi="Calibri" w:cs="Calibri"/>
          <w:color w:val="auto"/>
          <w:sz w:val="24"/>
        </w:rPr>
        <w:t>This information will be distributed during parent meetings and included in the student handbook.</w:t>
      </w:r>
      <w:r w:rsidRPr="00212290">
        <w:rPr>
          <w:rFonts w:ascii="Calibri" w:hAnsi="Calibri" w:cs="Calibri"/>
          <w:iCs/>
          <w:color w:val="auto"/>
          <w:sz w:val="24"/>
        </w:rPr>
        <w:t xml:space="preserve">  </w:t>
      </w:r>
    </w:p>
    <w:p w:rsidR="00212290" w:rsidRPr="00212290" w:rsidRDefault="00212290" w:rsidP="00212290">
      <w:pPr>
        <w:shd w:val="clear" w:color="auto" w:fill="FFFFFF"/>
        <w:spacing w:after="0" w:line="240" w:lineRule="auto"/>
        <w:rPr>
          <w:rFonts w:ascii="Calibri" w:hAnsi="Calibri" w:cs="Calibri"/>
          <w:iCs/>
          <w:color w:val="auto"/>
          <w:sz w:val="24"/>
        </w:rPr>
      </w:pPr>
    </w:p>
    <w:p w:rsidR="00212290" w:rsidRPr="00212290" w:rsidRDefault="00212290" w:rsidP="00212290">
      <w:pPr>
        <w:spacing w:after="0" w:line="240" w:lineRule="auto"/>
        <w:rPr>
          <w:rFonts w:ascii="Calibri" w:eastAsia="Times New Roman" w:hAnsi="Calibri" w:cs="Calibri"/>
          <w:color w:val="auto"/>
          <w:sz w:val="24"/>
        </w:rPr>
      </w:pPr>
      <w:r w:rsidRPr="00212290">
        <w:rPr>
          <w:rFonts w:ascii="Calibri" w:eastAsia="Times New Roman" w:hAnsi="Calibri" w:cs="Calibri"/>
          <w:color w:val="auto"/>
          <w:sz w:val="24"/>
        </w:rPr>
        <w:t>Screenings</w:t>
      </w:r>
    </w:p>
    <w:p w:rsidR="00212290" w:rsidRPr="00212290" w:rsidRDefault="00212290" w:rsidP="00212290">
      <w:pPr>
        <w:spacing w:after="0" w:line="240" w:lineRule="auto"/>
        <w:rPr>
          <w:rFonts w:ascii="Calibri" w:hAnsi="Calibri" w:cs="Calibri"/>
          <w:color w:val="auto"/>
          <w:sz w:val="24"/>
        </w:rPr>
      </w:pPr>
      <w:r w:rsidRPr="00212290">
        <w:rPr>
          <w:rFonts w:ascii="Calibri" w:hAnsi="Calibri" w:cs="Calibri"/>
          <w:color w:val="auto"/>
          <w:sz w:val="24"/>
        </w:rPr>
        <w:t>All kindergarten students will be screened for dyslexia at the end of the school year. First-grade students will be screened for dyslexia between January 1 and January 31 each year. The screening will include standardized assessments that align with the Dyslexia Handbook.</w:t>
      </w:r>
    </w:p>
    <w:p w:rsidR="00212290" w:rsidRPr="00212290" w:rsidRDefault="00212290" w:rsidP="00212290">
      <w:pPr>
        <w:spacing w:after="0" w:line="240" w:lineRule="auto"/>
        <w:rPr>
          <w:rFonts w:ascii="Calibri" w:eastAsia="Times New Roman" w:hAnsi="Calibri" w:cs="Calibri"/>
          <w:strike/>
          <w:color w:val="auto"/>
          <w:sz w:val="24"/>
        </w:rPr>
      </w:pPr>
      <w:r w:rsidRPr="00212290">
        <w:rPr>
          <w:rFonts w:ascii="Calibri" w:eastAsia="Times New Roman" w:hAnsi="Calibri" w:cs="Calibri"/>
          <w:color w:val="auto"/>
          <w:sz w:val="24"/>
        </w:rPr>
        <w:t>Screenings and assessments for dyslexia must be done by individuals who have been appropriately trained to identify dyslexia and related disorders.</w:t>
      </w:r>
      <w:r w:rsidRPr="00212290">
        <w:rPr>
          <w:rFonts w:ascii="Calibri" w:hAnsi="Calibri" w:cs="Calibri"/>
          <w:i/>
          <w:iCs/>
          <w:color w:val="auto"/>
          <w:sz w:val="24"/>
        </w:rPr>
        <w:t xml:space="preserve"> </w:t>
      </w:r>
      <w:r w:rsidRPr="00212290">
        <w:rPr>
          <w:rFonts w:ascii="Calibri" w:hAnsi="Calibri" w:cs="Calibri"/>
          <w:iCs/>
          <w:color w:val="auto"/>
          <w:sz w:val="24"/>
        </w:rPr>
        <w:t>Teachers and evaluators who screen and/or evaluate for dyslexia and related disorders must also be trained in instructional strategies that utilize researched based interventions as identified in the Dyslexia Handbook published by the TEA.</w:t>
      </w:r>
      <w:r w:rsidRPr="00212290">
        <w:rPr>
          <w:rFonts w:ascii="Calibri" w:hAnsi="Calibri" w:cs="Calibri"/>
          <w:color w:val="auto"/>
          <w:sz w:val="24"/>
        </w:rPr>
        <w:t xml:space="preserve"> Proof of training will be documented through training certificates stored in the employee file.</w:t>
      </w:r>
      <w:r w:rsidRPr="00212290">
        <w:rPr>
          <w:rFonts w:ascii="Calibri" w:hAnsi="Calibri" w:cs="Calibri"/>
          <w:i/>
          <w:iCs/>
          <w:color w:val="auto"/>
          <w:sz w:val="24"/>
        </w:rPr>
        <w:t xml:space="preserve"> </w:t>
      </w:r>
      <w:r w:rsidRPr="00212290">
        <w:rPr>
          <w:rFonts w:ascii="Calibri" w:hAnsi="Calibri" w:cs="Calibri"/>
          <w:iCs/>
          <w:color w:val="auto"/>
          <w:sz w:val="24"/>
        </w:rPr>
        <w:t>Screenings do not meet the criteria of a full individual and initial eval.</w:t>
      </w:r>
    </w:p>
    <w:p w:rsidR="00212290" w:rsidRPr="00212290" w:rsidRDefault="00212290" w:rsidP="00212290">
      <w:pPr>
        <w:spacing w:after="0" w:line="240" w:lineRule="auto"/>
        <w:rPr>
          <w:rFonts w:ascii="Calibri" w:eastAsia="Times New Roman" w:hAnsi="Calibri" w:cs="Calibri"/>
          <w:color w:val="auto"/>
          <w:sz w:val="24"/>
        </w:rPr>
      </w:pP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Instruction Programs</w:t>
      </w: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The program may not distinguish between standard dyslexia instruction as defined by the current Dyslexia Handbook published by TEA and other types of direct dyslexia instruction which also includes specially designed instruction.</w:t>
      </w: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The instructional programs for students with dyslexia and related disorders adopted by the LEA must meet all the components outlined in the most current Dyslexia Handbook published by TEA. The district currently uses Reading by Design.</w:t>
      </w:r>
      <w:r w:rsidRPr="00212290">
        <w:rPr>
          <w:rFonts w:ascii="Calibri" w:hAnsi="Calibri" w:cs="Calibri"/>
          <w:color w:val="auto"/>
          <w:sz w:val="24"/>
        </w:rPr>
        <w:t xml:space="preserve"> When considering new dyslexia programs, the LEA will conduct a comprehensive review to ensure alignment with the Dyslexia Handbook components.</w:t>
      </w:r>
    </w:p>
    <w:p w:rsidR="00212290" w:rsidRPr="00912F12" w:rsidRDefault="00212290" w:rsidP="00212290">
      <w:pPr>
        <w:spacing w:after="0" w:line="240" w:lineRule="auto"/>
        <w:rPr>
          <w:rFonts w:ascii="Calibri" w:hAnsi="Calibri" w:cs="Calibri"/>
          <w:color w:val="auto"/>
          <w:sz w:val="24"/>
        </w:rPr>
      </w:pPr>
      <w:r w:rsidRPr="00212290">
        <w:rPr>
          <w:rFonts w:ascii="Calibri" w:hAnsi="Calibri" w:cs="Calibri"/>
          <w:iCs/>
          <w:color w:val="auto"/>
          <w:sz w:val="24"/>
        </w:rPr>
        <w:t xml:space="preserve"> </w:t>
      </w:r>
      <w:r w:rsidRPr="00212290">
        <w:rPr>
          <w:rFonts w:ascii="Calibri" w:hAnsi="Calibri" w:cs="Calibri"/>
          <w:color w:val="auto"/>
          <w:sz w:val="24"/>
        </w:rPr>
        <w:t>All teachers working with students with dyslexia will participate in ongoing professional development, ensuring they meet the training requirements outlined in the Dyslexia Handbook.</w:t>
      </w:r>
      <w:r w:rsidRPr="00212290">
        <w:rPr>
          <w:rFonts w:ascii="Calibri" w:hAnsi="Calibri" w:cs="Calibri"/>
          <w:iCs/>
          <w:color w:val="auto"/>
          <w:sz w:val="24"/>
        </w:rPr>
        <w:t xml:space="preserve"> </w:t>
      </w:r>
      <w:r w:rsidRPr="00212290">
        <w:rPr>
          <w:rFonts w:ascii="Calibri" w:hAnsi="Calibri" w:cs="Calibri"/>
          <w:color w:val="auto"/>
          <w:sz w:val="24"/>
        </w:rPr>
        <w:t>The LEA will collect and maintain records of all certifications, licenses, and training received by providers of dyslexia instruction. This documentation will be available upon request in accordance with 19 TAC §74.28(f).</w:t>
      </w:r>
    </w:p>
    <w:p w:rsidR="00212290" w:rsidRPr="00912F12" w:rsidRDefault="00212290" w:rsidP="00212290">
      <w:pPr>
        <w:spacing w:after="0" w:line="240" w:lineRule="auto"/>
        <w:rPr>
          <w:rFonts w:ascii="Calibri" w:hAnsi="Calibri" w:cs="Calibri"/>
          <w:iCs/>
          <w:color w:val="auto"/>
          <w:sz w:val="24"/>
        </w:rPr>
      </w:pPr>
      <w:r w:rsidRPr="00912F12">
        <w:rPr>
          <w:rFonts w:ascii="Calibri" w:hAnsi="Calibri" w:cs="Calibri"/>
          <w:iCs/>
          <w:color w:val="auto"/>
          <w:sz w:val="24"/>
        </w:rPr>
        <w:t xml:space="preserve">Any LEA staff who provide instruction to students with dyslexia: </w:t>
      </w:r>
    </w:p>
    <w:p w:rsidR="00212290" w:rsidRPr="00912F12" w:rsidRDefault="00212290" w:rsidP="00212290">
      <w:pPr>
        <w:pStyle w:val="ListParagraph1"/>
        <w:numPr>
          <w:ilvl w:val="0"/>
          <w:numId w:val="6"/>
        </w:numPr>
        <w:shd w:val="clear" w:color="auto" w:fill="FFFFFF"/>
        <w:rPr>
          <w:rFonts w:ascii="Calibri" w:hAnsi="Calibri" w:cs="Calibri"/>
          <w:iCs/>
        </w:rPr>
      </w:pPr>
      <w:r w:rsidRPr="00912F12">
        <w:rPr>
          <w:rFonts w:ascii="Calibri" w:hAnsi="Calibri" w:cs="Calibri"/>
          <w:iCs/>
        </w:rPr>
        <w:t>Must be fully trained in the LEA’s adopted instructional programs and interventions.</w:t>
      </w:r>
    </w:p>
    <w:p w:rsidR="00212290" w:rsidRPr="00912F12" w:rsidRDefault="00212290" w:rsidP="00212290">
      <w:pPr>
        <w:pStyle w:val="ListParagraph1"/>
        <w:numPr>
          <w:ilvl w:val="0"/>
          <w:numId w:val="6"/>
        </w:numPr>
        <w:shd w:val="clear" w:color="auto" w:fill="FFFFFF"/>
        <w:rPr>
          <w:rFonts w:ascii="Calibri" w:hAnsi="Calibri" w:cs="Calibri"/>
          <w:iCs/>
        </w:rPr>
      </w:pPr>
      <w:r w:rsidRPr="00912F12">
        <w:rPr>
          <w:rFonts w:ascii="Calibri" w:hAnsi="Calibri" w:cs="Calibri"/>
          <w:iCs/>
        </w:rPr>
        <w:t>Is not required to be special ed. certified (as outlined in Subchapter B. Chapter21) unless the staff member is providing other special education instruction that requires certification.</w:t>
      </w:r>
    </w:p>
    <w:p w:rsidR="00212290" w:rsidRDefault="00212290" w:rsidP="00212290">
      <w:pPr>
        <w:shd w:val="clear" w:color="auto" w:fill="FFFFFF"/>
        <w:spacing w:after="0" w:line="240" w:lineRule="auto"/>
        <w:rPr>
          <w:rFonts w:ascii="Calibri" w:hAnsi="Calibri" w:cs="Calibri"/>
          <w:iCs/>
          <w:color w:val="auto"/>
          <w:sz w:val="24"/>
        </w:rPr>
      </w:pPr>
      <w:r w:rsidRPr="00912F12">
        <w:rPr>
          <w:rFonts w:ascii="Calibri" w:hAnsi="Calibri" w:cs="Calibri"/>
          <w:iCs/>
          <w:color w:val="auto"/>
          <w:sz w:val="24"/>
        </w:rPr>
        <w:t>Completion of a literacy achievement academy under Section 21.4552 by an educator does not satisfy the requirements for dyslexia instruction as outlined above.</w:t>
      </w:r>
    </w:p>
    <w:p w:rsidR="00212290" w:rsidRPr="00912F12" w:rsidRDefault="00212290" w:rsidP="00212290">
      <w:pPr>
        <w:shd w:val="clear" w:color="auto" w:fill="FFFFFF"/>
        <w:spacing w:after="0" w:line="240" w:lineRule="auto"/>
        <w:rPr>
          <w:rFonts w:ascii="Calibri" w:hAnsi="Calibri" w:cs="Calibri"/>
          <w:iCs/>
          <w:color w:val="auto"/>
          <w:sz w:val="24"/>
        </w:rPr>
      </w:pP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lastRenderedPageBreak/>
        <w:t>Progress Reports</w:t>
      </w: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At least once each grading period, an LEA must provide the parent or guardian of the student receiving dyslexia instruction with information regarding the student’s progress.  The IEP progress report along with the dyslexia program progress notes will be sent home with the report card.</w:t>
      </w: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 xml:space="preserve">Reporting Statistics </w:t>
      </w:r>
    </w:p>
    <w:p w:rsidR="00212290" w:rsidRPr="00212290" w:rsidRDefault="00212290" w:rsidP="00212290">
      <w:pPr>
        <w:shd w:val="clear" w:color="auto" w:fill="FFFFFF"/>
        <w:spacing w:after="0" w:line="240" w:lineRule="auto"/>
        <w:rPr>
          <w:rFonts w:ascii="Calibri" w:hAnsi="Calibri" w:cs="Calibri"/>
          <w:iCs/>
          <w:color w:val="auto"/>
          <w:sz w:val="24"/>
        </w:rPr>
      </w:pPr>
      <w:r w:rsidRPr="00212290">
        <w:rPr>
          <w:rFonts w:ascii="Calibri" w:hAnsi="Calibri" w:cs="Calibri"/>
          <w:iCs/>
          <w:color w:val="auto"/>
          <w:sz w:val="24"/>
        </w:rPr>
        <w:t xml:space="preserve">The LEA will provide information to the TEA annually regarding the number of students enrolled who are identified as having dyslexia or related disorders. Data will be gathered through the electronic data management system utilized by the LEA. </w:t>
      </w:r>
    </w:p>
    <w:p w:rsidR="00212290" w:rsidRPr="00212290" w:rsidRDefault="00212290" w:rsidP="00212290">
      <w:pPr>
        <w:shd w:val="clear" w:color="auto" w:fill="FFFFFF"/>
        <w:spacing w:after="0" w:line="240" w:lineRule="auto"/>
        <w:rPr>
          <w:rFonts w:ascii="Calibri" w:hAnsi="Calibri" w:cs="Calibri"/>
          <w:iCs/>
          <w:color w:val="auto"/>
          <w:sz w:val="24"/>
        </w:rPr>
      </w:pPr>
    </w:p>
    <w:p w:rsidR="00212290" w:rsidRPr="00212290" w:rsidRDefault="00212290" w:rsidP="00212290">
      <w:pPr>
        <w:shd w:val="clear" w:color="auto" w:fill="FFFFFF"/>
        <w:spacing w:after="0" w:line="240" w:lineRule="auto"/>
        <w:rPr>
          <w:rFonts w:ascii="Calibri" w:hAnsi="Calibri" w:cs="Calibri"/>
          <w:color w:val="auto"/>
          <w:sz w:val="24"/>
        </w:rPr>
      </w:pPr>
      <w:r w:rsidRPr="00212290">
        <w:rPr>
          <w:rFonts w:ascii="Calibri" w:hAnsi="Calibri" w:cs="Calibri"/>
          <w:color w:val="auto"/>
          <w:sz w:val="24"/>
        </w:rPr>
        <w:t>Documentation of Board Policy</w:t>
      </w:r>
    </w:p>
    <w:p w:rsidR="00212290" w:rsidRPr="00212290" w:rsidRDefault="00212290" w:rsidP="00212290">
      <w:pPr>
        <w:spacing w:after="0" w:line="240" w:lineRule="auto"/>
        <w:rPr>
          <w:rFonts w:ascii="Calibri" w:hAnsi="Calibri" w:cs="Calibri"/>
          <w:color w:val="auto"/>
          <w:sz w:val="24"/>
        </w:rPr>
      </w:pPr>
      <w:r w:rsidRPr="00212290">
        <w:rPr>
          <w:rFonts w:ascii="Calibri" w:hAnsi="Calibri" w:cs="Calibri"/>
          <w:color w:val="auto"/>
          <w:sz w:val="24"/>
        </w:rPr>
        <w:t>The LEA will document and retain evidence of the required board policy related to dyslexia, ensuring it is reviewed and updated regularly to reflect current laws and practices. This documentation will be accessible to all stakeholders.</w:t>
      </w:r>
    </w:p>
    <w:p w:rsidR="00212290" w:rsidRPr="00212290" w:rsidRDefault="00212290" w:rsidP="00212290">
      <w:pPr>
        <w:shd w:val="clear" w:color="auto" w:fill="FFFFFF"/>
        <w:spacing w:line="240" w:lineRule="auto"/>
      </w:pPr>
    </w:p>
    <w:p w:rsidR="00212290" w:rsidRPr="00212290" w:rsidRDefault="00212290" w:rsidP="00212290">
      <w:pPr>
        <w:spacing w:after="0" w:line="240" w:lineRule="auto"/>
        <w:rPr>
          <w:rFonts w:ascii="Calibri" w:hAnsi="Calibri" w:cs="Calibri"/>
          <w:b/>
          <w:color w:val="000000" w:themeColor="text1"/>
          <w:sz w:val="24"/>
        </w:rPr>
      </w:pPr>
      <w:bookmarkStart w:id="1" w:name="_Hlk39212374"/>
      <w:r w:rsidRPr="00212290">
        <w:rPr>
          <w:rFonts w:ascii="Calibri" w:hAnsi="Calibri" w:cs="Calibri"/>
          <w:b/>
          <w:bCs/>
          <w:color w:val="000000" w:themeColor="text1"/>
          <w:sz w:val="24"/>
        </w:rPr>
        <w:t xml:space="preserve">STAFF </w:t>
      </w:r>
      <w:r w:rsidRPr="00212290">
        <w:rPr>
          <w:rFonts w:ascii="Calibri" w:hAnsi="Calibri" w:cs="Calibri"/>
          <w:b/>
          <w:color w:val="000000" w:themeColor="text1"/>
          <w:sz w:val="24"/>
        </w:rPr>
        <w:t xml:space="preserve">RESPONSIBLE:  </w:t>
      </w:r>
    </w:p>
    <w:p w:rsidR="00212290" w:rsidRPr="00212290" w:rsidRDefault="00212290" w:rsidP="00212290">
      <w:pPr>
        <w:spacing w:after="0" w:line="240" w:lineRule="auto"/>
        <w:ind w:firstLine="720"/>
        <w:contextualSpacing/>
        <w:rPr>
          <w:rFonts w:ascii="Calibri" w:hAnsi="Calibri" w:cs="Calibri"/>
          <w:color w:val="000000" w:themeColor="text1"/>
          <w:sz w:val="24"/>
        </w:rPr>
      </w:pPr>
      <w:r w:rsidRPr="00212290">
        <w:rPr>
          <w:rFonts w:ascii="Calibri" w:hAnsi="Calibri" w:cs="Calibri"/>
          <w:b/>
          <w:color w:val="000000" w:themeColor="text1"/>
          <w:sz w:val="24"/>
        </w:rPr>
        <w:t xml:space="preserve">District Level: </w:t>
      </w:r>
      <w:r w:rsidRPr="00212290">
        <w:rPr>
          <w:rFonts w:ascii="Calibri" w:hAnsi="Calibri" w:cs="Calibri"/>
          <w:color w:val="000000" w:themeColor="text1"/>
          <w:sz w:val="24"/>
        </w:rPr>
        <w:t xml:space="preserve">Superintendent, Special Education Director, </w:t>
      </w:r>
    </w:p>
    <w:p w:rsidR="00212290" w:rsidRPr="007F0634" w:rsidRDefault="00212290" w:rsidP="00212290">
      <w:pPr>
        <w:spacing w:after="120" w:line="240" w:lineRule="auto"/>
        <w:ind w:left="720"/>
        <w:contextualSpacing/>
        <w:rPr>
          <w:rFonts w:ascii="Calibri" w:hAnsi="Calibri" w:cs="Calibri"/>
          <w:color w:val="000000" w:themeColor="text1"/>
          <w:sz w:val="24"/>
        </w:rPr>
      </w:pPr>
      <w:r w:rsidRPr="00212290">
        <w:rPr>
          <w:rFonts w:ascii="Calibri" w:hAnsi="Calibri" w:cs="Calibri"/>
          <w:b/>
          <w:color w:val="000000" w:themeColor="text1"/>
          <w:sz w:val="24"/>
        </w:rPr>
        <w:t>Campus Level:</w:t>
      </w:r>
      <w:r w:rsidRPr="00212290">
        <w:rPr>
          <w:rFonts w:ascii="Calibri" w:hAnsi="Calibri" w:cs="Calibri"/>
          <w:color w:val="000000" w:themeColor="text1"/>
          <w:sz w:val="24"/>
        </w:rPr>
        <w:t xml:space="preserve"> Principal, School Counselor, Dyslexia Specialist, Diagnostician</w:t>
      </w:r>
      <w:r w:rsidRPr="007F0634">
        <w:rPr>
          <w:rFonts w:ascii="Calibri" w:hAnsi="Calibri" w:cs="Calibri"/>
          <w:color w:val="000000" w:themeColor="text1"/>
          <w:sz w:val="24"/>
        </w:rPr>
        <w:t xml:space="preserve">, PEIMS </w:t>
      </w:r>
      <w:r>
        <w:rPr>
          <w:rFonts w:ascii="Calibri" w:hAnsi="Calibri" w:cs="Calibri"/>
          <w:color w:val="000000" w:themeColor="text1"/>
          <w:sz w:val="24"/>
        </w:rPr>
        <w:t>C</w:t>
      </w:r>
      <w:r w:rsidRPr="007F0634">
        <w:rPr>
          <w:rFonts w:ascii="Calibri" w:hAnsi="Calibri" w:cs="Calibri"/>
          <w:color w:val="000000" w:themeColor="text1"/>
          <w:sz w:val="24"/>
        </w:rPr>
        <w:t>lerk</w:t>
      </w:r>
    </w:p>
    <w:bookmarkEnd w:id="1"/>
    <w:p w:rsidR="00212290" w:rsidRPr="007F0634" w:rsidRDefault="00212290" w:rsidP="00212290">
      <w:pPr>
        <w:spacing w:after="120" w:line="240" w:lineRule="auto"/>
        <w:contextualSpacing/>
        <w:rPr>
          <w:rFonts w:ascii="Calibri" w:hAnsi="Calibri" w:cs="Calibri"/>
          <w:color w:val="000000" w:themeColor="text1"/>
          <w:sz w:val="24"/>
        </w:rPr>
      </w:pPr>
    </w:p>
    <w:p w:rsidR="00212290" w:rsidRPr="007F0634" w:rsidRDefault="00212290" w:rsidP="00212290">
      <w:pPr>
        <w:spacing w:after="0" w:line="240" w:lineRule="auto"/>
        <w:contextualSpacing/>
        <w:rPr>
          <w:rFonts w:ascii="Calibri" w:hAnsi="Calibri" w:cs="Calibri"/>
          <w:b/>
          <w:bCs/>
          <w:color w:val="000000" w:themeColor="text1"/>
          <w:sz w:val="24"/>
        </w:rPr>
      </w:pPr>
      <w:r w:rsidRPr="007F0634">
        <w:rPr>
          <w:rFonts w:ascii="Calibri" w:hAnsi="Calibri" w:cs="Calibri"/>
          <w:b/>
          <w:bCs/>
          <w:color w:val="000000" w:themeColor="text1"/>
          <w:sz w:val="24"/>
        </w:rPr>
        <w:t>TIMELINES FOR DYSLEXIA SERVICES ACTIVITIES:</w:t>
      </w:r>
    </w:p>
    <w:p w:rsidR="00212290" w:rsidRPr="007F0634" w:rsidRDefault="00212290" w:rsidP="00212290">
      <w:pPr>
        <w:pStyle w:val="ListParagraph"/>
        <w:numPr>
          <w:ilvl w:val="0"/>
          <w:numId w:val="4"/>
        </w:numPr>
        <w:spacing w:after="0" w:line="240" w:lineRule="auto"/>
        <w:rPr>
          <w:rFonts w:ascii="Calibri" w:hAnsi="Calibri" w:cs="Calibri"/>
          <w:color w:val="000000" w:themeColor="text1"/>
          <w:sz w:val="24"/>
        </w:rPr>
      </w:pPr>
      <w:r w:rsidRPr="007F0634">
        <w:rPr>
          <w:rFonts w:ascii="Calibri" w:hAnsi="Calibri" w:cs="Calibri"/>
          <w:color w:val="000000" w:themeColor="text1"/>
          <w:sz w:val="24"/>
        </w:rPr>
        <w:t>Teachers who screen and instruct students with dyslexia will attend training each year.</w:t>
      </w:r>
    </w:p>
    <w:p w:rsidR="00212290" w:rsidRPr="007F0634" w:rsidRDefault="00212290" w:rsidP="00212290">
      <w:pPr>
        <w:pStyle w:val="ListParagraph"/>
        <w:numPr>
          <w:ilvl w:val="0"/>
          <w:numId w:val="4"/>
        </w:numPr>
        <w:spacing w:after="120" w:line="240" w:lineRule="auto"/>
        <w:rPr>
          <w:rFonts w:ascii="Calibri" w:hAnsi="Calibri" w:cs="Calibri"/>
          <w:color w:val="000000" w:themeColor="text1"/>
          <w:sz w:val="24"/>
        </w:rPr>
      </w:pPr>
      <w:r w:rsidRPr="007F0634">
        <w:rPr>
          <w:rFonts w:ascii="Calibri" w:hAnsi="Calibri" w:cs="Calibri"/>
          <w:color w:val="000000" w:themeColor="text1"/>
          <w:sz w:val="24"/>
        </w:rPr>
        <w:t>Dyslexia screenings will be completed by the end of each school year.</w:t>
      </w:r>
    </w:p>
    <w:p w:rsidR="00212290" w:rsidRPr="00C07C74" w:rsidRDefault="00212290" w:rsidP="00212290">
      <w:pPr>
        <w:pStyle w:val="ListParagraph"/>
        <w:numPr>
          <w:ilvl w:val="0"/>
          <w:numId w:val="4"/>
        </w:numPr>
        <w:spacing w:after="120" w:line="240" w:lineRule="auto"/>
        <w:rPr>
          <w:rFonts w:ascii="Calibri" w:hAnsi="Calibri" w:cs="Calibri"/>
          <w:color w:val="000000" w:themeColor="text1"/>
          <w:sz w:val="24"/>
        </w:rPr>
      </w:pPr>
      <w:r w:rsidRPr="007F0634">
        <w:rPr>
          <w:rFonts w:ascii="Calibri" w:hAnsi="Calibri" w:cs="Calibri"/>
          <w:color w:val="000000" w:themeColor="text1"/>
          <w:sz w:val="24"/>
        </w:rPr>
        <w:t>FIIE will be conducted within 45 school days of receiving parental consent for evaluation.</w:t>
      </w:r>
      <w:r w:rsidRPr="007F0634">
        <w:rPr>
          <w:rFonts w:ascii="Calibri" w:hAnsi="Calibri" w:cs="Calibri"/>
          <w:b/>
          <w:bCs/>
          <w:color w:val="000000"/>
          <w:sz w:val="22"/>
          <w:szCs w:val="22"/>
          <w:shd w:val="clear" w:color="auto" w:fill="FFFFFF"/>
        </w:rPr>
        <w:t xml:space="preserve"> </w:t>
      </w:r>
    </w:p>
    <w:p w:rsidR="00212290" w:rsidRPr="00BC1ACF" w:rsidRDefault="00212290" w:rsidP="00212290">
      <w:pPr>
        <w:pStyle w:val="ListParagraph"/>
        <w:numPr>
          <w:ilvl w:val="0"/>
          <w:numId w:val="4"/>
        </w:numPr>
        <w:spacing w:after="120" w:line="240" w:lineRule="auto"/>
        <w:rPr>
          <w:rFonts w:ascii="Calibri" w:hAnsi="Calibri" w:cs="Calibri"/>
          <w:color w:val="000000" w:themeColor="text1"/>
          <w:sz w:val="24"/>
        </w:rPr>
      </w:pPr>
      <w:r w:rsidRPr="00BC1ACF">
        <w:rPr>
          <w:rFonts w:ascii="Calibri" w:hAnsi="Calibri" w:cs="Calibri"/>
          <w:color w:val="000000" w:themeColor="text1"/>
          <w:sz w:val="24"/>
        </w:rPr>
        <w:t xml:space="preserve">At the time of referral, parents are given the Overview of Special Education for Parents, information on how to access the Dyslexia Handbook and Notice of Procedural Safeguards </w:t>
      </w:r>
    </w:p>
    <w:p w:rsidR="00212290" w:rsidRPr="007F0634" w:rsidRDefault="00212290" w:rsidP="00212290">
      <w:pPr>
        <w:pStyle w:val="ListParagraph"/>
        <w:spacing w:after="120" w:line="240" w:lineRule="auto"/>
        <w:rPr>
          <w:rFonts w:ascii="Calibri" w:hAnsi="Calibri" w:cs="Calibri"/>
          <w:color w:val="000000" w:themeColor="text1"/>
          <w:sz w:val="24"/>
        </w:rPr>
      </w:pPr>
    </w:p>
    <w:p w:rsidR="00212290" w:rsidRPr="007F0634" w:rsidRDefault="00212290" w:rsidP="00212290">
      <w:pPr>
        <w:spacing w:after="0" w:line="240" w:lineRule="auto"/>
        <w:contextualSpacing/>
        <w:rPr>
          <w:rFonts w:ascii="Calibri" w:hAnsi="Calibri" w:cs="Calibri"/>
          <w:bCs/>
          <w:color w:val="000000" w:themeColor="text1"/>
          <w:sz w:val="24"/>
        </w:rPr>
      </w:pPr>
      <w:r w:rsidRPr="007F0634">
        <w:rPr>
          <w:rFonts w:ascii="Calibri" w:hAnsi="Calibri" w:cs="Calibri"/>
          <w:b/>
          <w:color w:val="000000" w:themeColor="text1"/>
          <w:sz w:val="24"/>
        </w:rPr>
        <w:t xml:space="preserve">EVIDENCE OF PRACTICE: </w:t>
      </w:r>
    </w:p>
    <w:p w:rsidR="00212290" w:rsidRPr="007F0634" w:rsidRDefault="00212290" w:rsidP="00212290">
      <w:pPr>
        <w:pStyle w:val="ListParagraph"/>
        <w:numPr>
          <w:ilvl w:val="0"/>
          <w:numId w:val="3"/>
        </w:numPr>
        <w:spacing w:after="0" w:line="240" w:lineRule="auto"/>
        <w:rPr>
          <w:rFonts w:ascii="Calibri" w:hAnsi="Calibri" w:cs="Calibri"/>
          <w:bCs/>
          <w:color w:val="000000" w:themeColor="text1"/>
          <w:sz w:val="24"/>
        </w:rPr>
      </w:pPr>
      <w:r w:rsidRPr="007F0634">
        <w:rPr>
          <w:rFonts w:ascii="Calibri" w:hAnsi="Calibri" w:cs="Calibri"/>
          <w:bCs/>
          <w:color w:val="000000" w:themeColor="text1"/>
          <w:sz w:val="24"/>
        </w:rPr>
        <w:t>Forms or checklists</w:t>
      </w:r>
    </w:p>
    <w:p w:rsidR="00212290" w:rsidRPr="007F0634" w:rsidRDefault="00212290" w:rsidP="00212290">
      <w:pPr>
        <w:pStyle w:val="ListParagraph"/>
        <w:numPr>
          <w:ilvl w:val="0"/>
          <w:numId w:val="3"/>
        </w:numPr>
        <w:spacing w:after="120" w:line="240" w:lineRule="auto"/>
        <w:rPr>
          <w:rFonts w:ascii="Calibri" w:hAnsi="Calibri" w:cs="Calibri"/>
          <w:bCs/>
          <w:color w:val="000000" w:themeColor="text1"/>
          <w:sz w:val="24"/>
        </w:rPr>
      </w:pPr>
      <w:r w:rsidRPr="007F0634">
        <w:rPr>
          <w:rFonts w:ascii="Calibri" w:hAnsi="Calibri" w:cs="Calibri"/>
          <w:bCs/>
          <w:color w:val="000000" w:themeColor="text1"/>
          <w:sz w:val="24"/>
        </w:rPr>
        <w:t>Teacher training artifacts (presentation handouts, sign-in sheets, etc.)</w:t>
      </w:r>
    </w:p>
    <w:p w:rsidR="00212290" w:rsidRPr="007F0634" w:rsidRDefault="00212290" w:rsidP="00212290">
      <w:pPr>
        <w:pStyle w:val="ListParagraph"/>
        <w:numPr>
          <w:ilvl w:val="0"/>
          <w:numId w:val="3"/>
        </w:numPr>
        <w:spacing w:after="120" w:line="240" w:lineRule="auto"/>
        <w:rPr>
          <w:rFonts w:ascii="Calibri" w:hAnsi="Calibri" w:cs="Calibri"/>
          <w:bCs/>
          <w:color w:val="000000" w:themeColor="text1"/>
          <w:sz w:val="24"/>
        </w:rPr>
      </w:pPr>
      <w:r w:rsidRPr="007F0634">
        <w:rPr>
          <w:rFonts w:ascii="Calibri" w:hAnsi="Calibri" w:cs="Calibri"/>
          <w:bCs/>
          <w:color w:val="000000" w:themeColor="text1"/>
          <w:sz w:val="24"/>
        </w:rPr>
        <w:t>Written consent for evaluation</w:t>
      </w:r>
    </w:p>
    <w:p w:rsidR="00212290" w:rsidRPr="007F0634" w:rsidRDefault="00212290" w:rsidP="00212290">
      <w:pPr>
        <w:pStyle w:val="ListParagraph"/>
        <w:numPr>
          <w:ilvl w:val="0"/>
          <w:numId w:val="3"/>
        </w:numPr>
        <w:spacing w:after="120" w:line="240" w:lineRule="auto"/>
        <w:rPr>
          <w:rFonts w:ascii="Calibri" w:hAnsi="Calibri" w:cs="Calibri"/>
          <w:bCs/>
          <w:color w:val="000000" w:themeColor="text1"/>
          <w:sz w:val="24"/>
        </w:rPr>
      </w:pPr>
      <w:r w:rsidRPr="007F0634">
        <w:rPr>
          <w:rFonts w:ascii="Calibri" w:hAnsi="Calibri" w:cs="Calibri"/>
          <w:bCs/>
          <w:color w:val="000000" w:themeColor="text1"/>
          <w:sz w:val="24"/>
        </w:rPr>
        <w:t>Evaluation reports</w:t>
      </w:r>
    </w:p>
    <w:p w:rsidR="00212290" w:rsidRPr="007F0634" w:rsidRDefault="00212290" w:rsidP="00212290">
      <w:pPr>
        <w:pStyle w:val="ListParagraph"/>
        <w:numPr>
          <w:ilvl w:val="0"/>
          <w:numId w:val="3"/>
        </w:numPr>
        <w:spacing w:after="120" w:line="240" w:lineRule="auto"/>
        <w:rPr>
          <w:rFonts w:ascii="Calibri" w:hAnsi="Calibri" w:cs="Calibri"/>
          <w:bCs/>
          <w:color w:val="000000" w:themeColor="text1"/>
          <w:sz w:val="24"/>
        </w:rPr>
      </w:pPr>
      <w:r w:rsidRPr="007F0634">
        <w:rPr>
          <w:rFonts w:ascii="Calibri" w:hAnsi="Calibri" w:cs="Calibri"/>
          <w:bCs/>
          <w:color w:val="000000" w:themeColor="text1"/>
          <w:sz w:val="24"/>
        </w:rPr>
        <w:t>Copies of ARD committee meetings</w:t>
      </w:r>
    </w:p>
    <w:p w:rsidR="00212290" w:rsidRPr="007F0634" w:rsidRDefault="00212290" w:rsidP="00212290">
      <w:pPr>
        <w:pStyle w:val="ListParagraph"/>
        <w:numPr>
          <w:ilvl w:val="0"/>
          <w:numId w:val="3"/>
        </w:numPr>
        <w:spacing w:after="120" w:line="240" w:lineRule="auto"/>
        <w:rPr>
          <w:rFonts w:ascii="Calibri" w:hAnsi="Calibri" w:cs="Calibri"/>
          <w:bCs/>
          <w:color w:val="000000" w:themeColor="text1"/>
          <w:sz w:val="24"/>
        </w:rPr>
      </w:pPr>
      <w:r w:rsidRPr="007F0634">
        <w:rPr>
          <w:rFonts w:ascii="Calibri" w:hAnsi="Calibri" w:cs="Calibri"/>
          <w:bCs/>
          <w:color w:val="000000" w:themeColor="text1"/>
          <w:sz w:val="24"/>
        </w:rPr>
        <w:t>Description of reading program(s) used for students with dyslexia</w:t>
      </w:r>
    </w:p>
    <w:p w:rsidR="00212290" w:rsidRPr="007F0634" w:rsidRDefault="00212290" w:rsidP="00212290">
      <w:pPr>
        <w:pStyle w:val="ListParagraph"/>
        <w:numPr>
          <w:ilvl w:val="0"/>
          <w:numId w:val="3"/>
        </w:numPr>
        <w:spacing w:after="120" w:line="240" w:lineRule="auto"/>
        <w:rPr>
          <w:rFonts w:ascii="Calibri" w:hAnsi="Calibri" w:cs="Calibri"/>
          <w:bCs/>
          <w:color w:val="000000" w:themeColor="text1"/>
          <w:sz w:val="24"/>
        </w:rPr>
      </w:pPr>
      <w:r w:rsidRPr="007F0634">
        <w:rPr>
          <w:rFonts w:ascii="Calibri" w:hAnsi="Calibri" w:cs="Calibri"/>
          <w:bCs/>
          <w:color w:val="000000" w:themeColor="text1"/>
          <w:sz w:val="24"/>
        </w:rPr>
        <w:lastRenderedPageBreak/>
        <w:t>TSDS/PEIMS reports for students with disabilities identified with dyslexia</w:t>
      </w:r>
    </w:p>
    <w:p w:rsidR="00212290" w:rsidRPr="00F62EC5" w:rsidRDefault="00212290" w:rsidP="00212290">
      <w:pPr>
        <w:pStyle w:val="ListParagraph"/>
        <w:spacing w:after="120" w:line="240" w:lineRule="auto"/>
        <w:rPr>
          <w:rFonts w:ascii="Calibri" w:hAnsi="Calibri" w:cs="Calibri"/>
          <w:bCs/>
          <w:color w:val="000000" w:themeColor="text1"/>
          <w:sz w:val="24"/>
        </w:rPr>
      </w:pPr>
    </w:p>
    <w:p w:rsidR="00AA6861" w:rsidRDefault="00AA6861">
      <w:pPr>
        <w:spacing w:after="120" w:line="240" w:lineRule="auto"/>
        <w:ind w:left="360"/>
        <w:rPr>
          <w:rFonts w:ascii="Times New Roman" w:eastAsia="Times New Roman" w:hAnsi="Times New Roman" w:cs="Times New Roman"/>
          <w:color w:val="000000"/>
          <w:sz w:val="22"/>
          <w:szCs w:val="22"/>
        </w:rPr>
      </w:pPr>
    </w:p>
    <w:sectPr w:rsidR="00AA6861">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A45" w:rsidRDefault="004B3A45">
      <w:pPr>
        <w:spacing w:after="0" w:line="240" w:lineRule="auto"/>
      </w:pPr>
      <w:r>
        <w:separator/>
      </w:r>
    </w:p>
  </w:endnote>
  <w:endnote w:type="continuationSeparator" w:id="0">
    <w:p w:rsidR="004B3A45" w:rsidRDefault="004B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507" w:rsidRDefault="00984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Default="00AA6861">
    <w:pPr>
      <w:pBdr>
        <w:top w:val="nil"/>
        <w:left w:val="nil"/>
        <w:bottom w:val="single" w:sz="4" w:space="1" w:color="000000"/>
        <w:right w:val="nil"/>
        <w:between w:val="nil"/>
      </w:pBdr>
      <w:tabs>
        <w:tab w:val="center" w:pos="5760"/>
        <w:tab w:val="right" w:pos="9900"/>
      </w:tabs>
      <w:spacing w:after="0" w:line="240" w:lineRule="auto"/>
    </w:pPr>
  </w:p>
  <w:p w:rsidR="00AA6861" w:rsidRDefault="00C85334">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CHILD FIND</w:t>
    </w:r>
  </w:p>
  <w:p w:rsidR="00AA6861" w:rsidRDefault="00C85334">
    <w:pPr>
      <w:pBdr>
        <w:top w:val="nil"/>
        <w:left w:val="nil"/>
        <w:bottom w:val="nil"/>
        <w:right w:val="nil"/>
        <w:between w:val="nil"/>
      </w:pBdr>
      <w:tabs>
        <w:tab w:val="right" w:pos="9900"/>
      </w:tabs>
      <w:spacing w:after="0" w:line="240" w:lineRule="auto"/>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5D4B7C">
      <w:rPr>
        <w:rFonts w:ascii="Calibri" w:eastAsia="Calibri" w:hAnsi="Calibri" w:cs="Calibri"/>
      </w:rPr>
      <w:t>5</w:t>
    </w:r>
    <w:bookmarkStart w:id="2" w:name="_GoBack"/>
    <w:bookmarkEnd w:id="2"/>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7A0409">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7A0409">
      <w:rPr>
        <w:rFonts w:ascii="Calibri" w:eastAsia="Calibri" w:hAnsi="Calibri" w:cs="Calibri"/>
        <w:noProof/>
      </w:rPr>
      <w:t>1</w:t>
    </w:r>
    <w:r>
      <w:rPr>
        <w:rFonts w:ascii="Calibri" w:eastAsia="Calibri" w:hAnsi="Calibri" w:cs="Calibri"/>
      </w:rPr>
      <w:fldChar w:fldCharType="end"/>
    </w:r>
  </w:p>
  <w:p w:rsidR="00AA6861" w:rsidRDefault="00AA6861">
    <w:pPr>
      <w:pBdr>
        <w:top w:val="nil"/>
        <w:left w:val="nil"/>
        <w:bottom w:val="nil"/>
        <w:right w:val="nil"/>
        <w:between w:val="nil"/>
      </w:pBdr>
      <w:tabs>
        <w:tab w:val="right" w:pos="9900"/>
      </w:tabs>
      <w:spacing w:after="0" w:line="240" w:lineRule="auto"/>
      <w:rPr>
        <w:rFonts w:ascii="Calibri" w:eastAsia="Calibri" w:hAnsi="Calibri" w:cs="Calibri"/>
      </w:rPr>
    </w:pPr>
  </w:p>
  <w:p w:rsidR="00AA6861" w:rsidRDefault="00C85334">
    <w:pPr>
      <w:pBdr>
        <w:top w:val="nil"/>
        <w:left w:val="nil"/>
        <w:bottom w:val="nil"/>
        <w:right w:val="nil"/>
        <w:between w:val="nil"/>
      </w:pBdr>
      <w:spacing w:after="0" w:line="240" w:lineRule="auto"/>
      <w:jc w:val="center"/>
      <w:rPr>
        <w:rFonts w:ascii="Calibri" w:eastAsia="Calibri" w:hAnsi="Calibri" w:cs="Calibri"/>
      </w:rPr>
    </w:pP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Default="00AA6861">
    <w:pPr>
      <w:widowControl w:val="0"/>
      <w:pBdr>
        <w:top w:val="nil"/>
        <w:left w:val="nil"/>
        <w:bottom w:val="nil"/>
        <w:right w:val="nil"/>
        <w:between w:val="nil"/>
      </w:pBdr>
      <w:spacing w:after="0" w:line="276" w:lineRule="auto"/>
      <w:rPr>
        <w:rFonts w:ascii="Calibri" w:eastAsia="Calibri" w:hAnsi="Calibri" w:cs="Calibri"/>
      </w:rPr>
    </w:pPr>
  </w:p>
  <w:tbl>
    <w:tblPr>
      <w:tblStyle w:val="a0"/>
      <w:tblW w:w="9360" w:type="dxa"/>
      <w:tblBorders>
        <w:top w:val="single" w:sz="24" w:space="0" w:color="0F3966"/>
      </w:tblBorders>
      <w:tblLayout w:type="fixed"/>
      <w:tblLook w:val="0400" w:firstRow="0" w:lastRow="0" w:firstColumn="0" w:lastColumn="0" w:noHBand="0" w:noVBand="1"/>
    </w:tblPr>
    <w:tblGrid>
      <w:gridCol w:w="4239"/>
      <w:gridCol w:w="5121"/>
    </w:tblGrid>
    <w:tr w:rsidR="00AA6861">
      <w:tc>
        <w:tcPr>
          <w:tcW w:w="0" w:type="auto"/>
          <w:vAlign w:val="center"/>
        </w:tcPr>
        <w:p w:rsidR="00AA6861" w:rsidRDefault="00C85334">
          <w:pPr>
            <w:pBdr>
              <w:top w:val="nil"/>
              <w:left w:val="nil"/>
              <w:bottom w:val="nil"/>
              <w:right w:val="nil"/>
              <w:between w:val="nil"/>
            </w:pBdr>
            <w:tabs>
              <w:tab w:val="left" w:pos="1440"/>
              <w:tab w:val="right" w:pos="4122"/>
            </w:tabs>
            <w:spacing w:after="0" w:line="240" w:lineRule="auto"/>
            <w:rPr>
              <w:sz w:val="16"/>
              <w:szCs w:val="16"/>
            </w:rPr>
          </w:pPr>
          <w:r>
            <w:rPr>
              <w:sz w:val="16"/>
              <w:szCs w:val="16"/>
            </w:rPr>
            <w:t>Operating Guideline</w:t>
          </w:r>
        </w:p>
      </w:tc>
      <w:tc>
        <w:tcPr>
          <w:tcW w:w="0" w:type="auto"/>
          <w:vAlign w:val="center"/>
        </w:tcPr>
        <w:p w:rsidR="00AA6861" w:rsidRDefault="00C85334">
          <w:pPr>
            <w:pBdr>
              <w:top w:val="nil"/>
              <w:left w:val="nil"/>
              <w:bottom w:val="nil"/>
              <w:right w:val="nil"/>
              <w:between w:val="nil"/>
            </w:pBdr>
            <w:spacing w:after="0" w:line="240" w:lineRule="auto"/>
            <w:jc w:val="right"/>
            <w:rPr>
              <w:b/>
              <w:sz w:val="16"/>
              <w:szCs w:val="16"/>
            </w:rPr>
          </w:pPr>
          <w:r>
            <w:rPr>
              <w:b/>
              <w:sz w:val="16"/>
              <w:szCs w:val="16"/>
            </w:rPr>
            <w:t>ADMINISTRATION OF PROGRAM INFORMATION</w:t>
          </w:r>
        </w:p>
      </w:tc>
    </w:tr>
    <w:tr w:rsidR="00AA6861">
      <w:tc>
        <w:tcPr>
          <w:tcW w:w="0" w:type="auto"/>
          <w:vAlign w:val="center"/>
        </w:tcPr>
        <w:p w:rsidR="00AA6861" w:rsidRDefault="00C85334">
          <w:pPr>
            <w:pBdr>
              <w:top w:val="nil"/>
              <w:left w:val="nil"/>
              <w:bottom w:val="nil"/>
              <w:right w:val="nil"/>
              <w:between w:val="nil"/>
            </w:pBdr>
            <w:tabs>
              <w:tab w:val="left" w:pos="1440"/>
            </w:tabs>
            <w:spacing w:after="0" w:line="240" w:lineRule="auto"/>
            <w:rPr>
              <w:sz w:val="16"/>
              <w:szCs w:val="16"/>
            </w:rPr>
          </w:pPr>
          <w:r>
            <w:rPr>
              <w:sz w:val="16"/>
              <w:szCs w:val="16"/>
            </w:rPr>
            <w:t xml:space="preserve">Date Issued/Revised: </w:t>
          </w:r>
        </w:p>
      </w:tc>
      <w:tc>
        <w:tcPr>
          <w:tcW w:w="0" w:type="auto"/>
          <w:vAlign w:val="center"/>
        </w:tcPr>
        <w:p w:rsidR="00AA6861" w:rsidRDefault="00C85334">
          <w:pPr>
            <w:pBdr>
              <w:top w:val="nil"/>
              <w:left w:val="nil"/>
              <w:bottom w:val="nil"/>
              <w:right w:val="nil"/>
              <w:between w:val="nil"/>
            </w:pBdr>
            <w:tabs>
              <w:tab w:val="left" w:pos="1260"/>
            </w:tabs>
            <w:spacing w:after="0" w:line="240" w:lineRule="auto"/>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AA6861" w:rsidRDefault="00AA6861">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A45" w:rsidRDefault="004B3A45">
      <w:pPr>
        <w:spacing w:after="0" w:line="240" w:lineRule="auto"/>
      </w:pPr>
      <w:r>
        <w:separator/>
      </w:r>
    </w:p>
  </w:footnote>
  <w:footnote w:type="continuationSeparator" w:id="0">
    <w:p w:rsidR="004B3A45" w:rsidRDefault="004B3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507" w:rsidRDefault="00984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61" w:rsidRDefault="00AA686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2"/>
        <w:szCs w:val="22"/>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AA6861" w:rsidTr="00AA6861">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A6861" w:rsidRDefault="00C85334">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AA6861" w:rsidTr="00AA6861">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A6861" w:rsidRDefault="00C85334">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DYSLEXIA AND RELATED DISORDERS</w:t>
          </w:r>
        </w:p>
      </w:tc>
    </w:tr>
    <w:tr w:rsidR="00AA6861" w:rsidTr="00AA6861">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AA6861" w:rsidRDefault="00AA6861" w:rsidP="0093036D">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AA6861" w:rsidRDefault="00AA6861">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AA6861" w:rsidRDefault="00AA6861">
    <w:pPr>
      <w:pBdr>
        <w:top w:val="nil"/>
        <w:left w:val="nil"/>
        <w:bottom w:val="nil"/>
        <w:right w:val="nil"/>
        <w:between w:val="nil"/>
      </w:pBdr>
      <w:spacing w:after="0" w:line="240" w:lineRule="auto"/>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507" w:rsidRDefault="00984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8720E"/>
    <w:multiLevelType w:val="hybridMultilevel"/>
    <w:tmpl w:val="E340A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1F786F"/>
    <w:multiLevelType w:val="multilevel"/>
    <w:tmpl w:val="3E20C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0F4234"/>
    <w:multiLevelType w:val="multilevel"/>
    <w:tmpl w:val="350F4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32BC4"/>
    <w:multiLevelType w:val="multilevel"/>
    <w:tmpl w:val="68932BC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DD5B9F"/>
    <w:multiLevelType w:val="multilevel"/>
    <w:tmpl w:val="392CA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61"/>
    <w:rsid w:val="00072A86"/>
    <w:rsid w:val="00175CF5"/>
    <w:rsid w:val="001F4B34"/>
    <w:rsid w:val="00212290"/>
    <w:rsid w:val="002F1D46"/>
    <w:rsid w:val="004354DF"/>
    <w:rsid w:val="004B3A45"/>
    <w:rsid w:val="004B7ED2"/>
    <w:rsid w:val="00534C16"/>
    <w:rsid w:val="005D4B7C"/>
    <w:rsid w:val="005E0A34"/>
    <w:rsid w:val="005E7AEA"/>
    <w:rsid w:val="00693124"/>
    <w:rsid w:val="007A0409"/>
    <w:rsid w:val="0093036D"/>
    <w:rsid w:val="00984507"/>
    <w:rsid w:val="00A10D1A"/>
    <w:rsid w:val="00A81EB0"/>
    <w:rsid w:val="00AA6861"/>
    <w:rsid w:val="00B61849"/>
    <w:rsid w:val="00C85334"/>
    <w:rsid w:val="00C87641"/>
    <w:rsid w:val="00E15E18"/>
    <w:rsid w:val="00EE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5569"/>
  <w15:docId w15:val="{FF99B499-4D04-47BB-8418-84173EAE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30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36D"/>
  </w:style>
  <w:style w:type="paragraph" w:styleId="Footer">
    <w:name w:val="footer"/>
    <w:basedOn w:val="Normal"/>
    <w:link w:val="FooterChar"/>
    <w:uiPriority w:val="99"/>
    <w:unhideWhenUsed/>
    <w:rsid w:val="00930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36D"/>
  </w:style>
  <w:style w:type="paragraph" w:styleId="ListParagraph">
    <w:name w:val="List Paragraph"/>
    <w:basedOn w:val="Normal"/>
    <w:uiPriority w:val="34"/>
    <w:qFormat/>
    <w:rsid w:val="00212290"/>
    <w:pPr>
      <w:ind w:left="720"/>
      <w:contextualSpacing/>
    </w:pPr>
    <w:rPr>
      <w:rFonts w:eastAsiaTheme="minorHAnsi" w:cstheme="minorBidi"/>
      <w:color w:val="4F81BD" w:themeColor="accent1"/>
      <w:szCs w:val="24"/>
    </w:rPr>
  </w:style>
  <w:style w:type="paragraph" w:customStyle="1" w:styleId="ListParagraph1">
    <w:name w:val="List Paragraph1"/>
    <w:basedOn w:val="Normal"/>
    <w:uiPriority w:val="34"/>
    <w:qFormat/>
    <w:rsid w:val="00212290"/>
    <w:pPr>
      <w:spacing w:after="0" w:line="240" w:lineRule="auto"/>
      <w:ind w:left="72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kLvfx1t87Wp3R2aiwbnDuRT1nY5sREwgAD4qNgtfa1U/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15</cp:revision>
  <dcterms:created xsi:type="dcterms:W3CDTF">2024-11-01T18:10:00Z</dcterms:created>
  <dcterms:modified xsi:type="dcterms:W3CDTF">2025-10-27T14:46:00Z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