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24D3A" w14:textId="77777777" w:rsidR="002045E8" w:rsidRDefault="002045E8" w:rsidP="002045E8">
      <w:pPr>
        <w:spacing w:after="0" w:line="240" w:lineRule="auto"/>
        <w:rPr>
          <w:szCs w:val="20"/>
        </w:rPr>
      </w:pPr>
    </w:p>
    <w:p w14:paraId="4E098BA0" w14:textId="77777777"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history="1">
        <w:r w:rsidR="009F2B04">
          <w:rPr>
            <w:rStyle w:val="Hyperlink"/>
            <w:color w:val="0000FF"/>
            <w:szCs w:val="20"/>
          </w:rPr>
          <w:t>Administration of Equipment</w:t>
        </w:r>
      </w:hyperlink>
      <w:r w:rsidRPr="008E1425">
        <w:rPr>
          <w:color w:val="000000" w:themeColor="text1"/>
          <w:szCs w:val="20"/>
        </w:rPr>
        <w:t xml:space="preserve"> </w:t>
      </w:r>
    </w:p>
    <w:p w14:paraId="5F3E65FF" w14:textId="77777777"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Category:  Administration</w:t>
      </w:r>
      <w:r w:rsidR="009415A3" w:rsidRPr="008E1425">
        <w:rPr>
          <w:color w:val="000000" w:themeColor="text1"/>
          <w:szCs w:val="20"/>
        </w:rPr>
        <w:t xml:space="preserve"> </w:t>
      </w:r>
      <w:r w:rsidR="009415A3">
        <w:rPr>
          <w:color w:val="000099"/>
          <w:szCs w:val="20"/>
        </w:rPr>
        <w:tab/>
      </w:r>
      <w:r w:rsidR="009415A3" w:rsidRPr="009415A3">
        <w:rPr>
          <w:color w:val="000000" w:themeColor="text1"/>
          <w:sz w:val="12"/>
          <w:szCs w:val="12"/>
        </w:rPr>
        <w:t>Template</w:t>
      </w:r>
      <w:r w:rsidR="00A118CD">
        <w:rPr>
          <w:color w:val="000000" w:themeColor="text1"/>
          <w:sz w:val="12"/>
          <w:szCs w:val="12"/>
        </w:rPr>
        <w:t xml:space="preserve"> update Oct</w:t>
      </w:r>
      <w:r w:rsidR="009415A3" w:rsidRPr="009415A3">
        <w:rPr>
          <w:color w:val="000000" w:themeColor="text1"/>
          <w:sz w:val="12"/>
          <w:szCs w:val="12"/>
        </w:rPr>
        <w:t xml:space="preserve"> 2016</w:t>
      </w:r>
    </w:p>
    <w:p w14:paraId="77DBBE8D" w14:textId="77777777" w:rsidR="000C551A" w:rsidRPr="009415A3" w:rsidRDefault="000C551A" w:rsidP="000C551A">
      <w:pPr>
        <w:spacing w:after="0" w:line="240" w:lineRule="auto"/>
        <w:rPr>
          <w:color w:val="000000" w:themeColor="text1"/>
        </w:rPr>
      </w:pPr>
    </w:p>
    <w:p w14:paraId="442A1C09" w14:textId="77777777" w:rsidR="009F2B04" w:rsidRPr="009F2B04" w:rsidRDefault="009F2B04" w:rsidP="009F2B04">
      <w:pPr>
        <w:spacing w:after="0" w:line="240" w:lineRule="auto"/>
        <w:jc w:val="both"/>
        <w:rPr>
          <w:rFonts w:eastAsia="Times New Roman" w:cs="Times New Roman"/>
          <w:color w:val="auto"/>
          <w:szCs w:val="20"/>
        </w:rPr>
      </w:pPr>
      <w:r w:rsidRPr="009F2B04">
        <w:rPr>
          <w:rFonts w:eastAsia="Times New Roman" w:cs="Times New Roman"/>
          <w:color w:val="auto"/>
          <w:szCs w:val="20"/>
        </w:rPr>
        <w:t xml:space="preserve">“The definition in the Act specifically refers to any item, piece of equipment, or product system that is used to increase, maintain, or improve the functional capabilities of the child and specifically excludes a medical device that is surgically implanted or the replacement of such device.” </w:t>
      </w:r>
      <w:r w:rsidR="00A118CD">
        <w:rPr>
          <w:rFonts w:eastAsia="Times New Roman" w:cs="Times New Roman"/>
          <w:color w:val="auto"/>
          <w:szCs w:val="20"/>
        </w:rPr>
        <w:t xml:space="preserve"> </w:t>
      </w:r>
      <w:r w:rsidRPr="009F2B04">
        <w:rPr>
          <w:rFonts w:eastAsia="Times New Roman" w:cs="Times New Roman"/>
          <w:color w:val="auto"/>
          <w:szCs w:val="20"/>
        </w:rPr>
        <w:t>71 Fed. Reg. 46547 (2006).</w:t>
      </w:r>
    </w:p>
    <w:p w14:paraId="1E826601" w14:textId="77777777" w:rsidR="009F2B04" w:rsidRPr="009F2B04" w:rsidRDefault="009F2B04" w:rsidP="009F2B04">
      <w:pPr>
        <w:spacing w:after="0" w:line="240" w:lineRule="auto"/>
        <w:jc w:val="both"/>
        <w:rPr>
          <w:rFonts w:eastAsia="Times New Roman" w:cs="Times New Roman"/>
          <w:color w:val="auto"/>
          <w:szCs w:val="20"/>
        </w:rPr>
      </w:pPr>
    </w:p>
    <w:p w14:paraId="0B8FFAF3" w14:textId="77777777" w:rsidR="009F2B04" w:rsidRPr="009F2B04" w:rsidRDefault="009F2B04" w:rsidP="009F2B04">
      <w:pPr>
        <w:spacing w:after="0" w:line="240" w:lineRule="auto"/>
        <w:jc w:val="both"/>
        <w:rPr>
          <w:rFonts w:eastAsia="Times New Roman" w:cs="Times New Roman"/>
          <w:color w:val="auto"/>
          <w:szCs w:val="20"/>
        </w:rPr>
      </w:pPr>
      <w:r w:rsidRPr="009F2B04">
        <w:rPr>
          <w:rFonts w:eastAsia="Times New Roman" w:cs="Times New Roman"/>
          <w:color w:val="auto"/>
          <w:szCs w:val="20"/>
        </w:rPr>
        <w:t xml:space="preserve">“An instructional program is not a device, and, therefore, would not meet the definition of an assistive technology device.” </w:t>
      </w:r>
      <w:r w:rsidR="00A118CD">
        <w:rPr>
          <w:rFonts w:eastAsia="Times New Roman" w:cs="Times New Roman"/>
          <w:color w:val="auto"/>
          <w:szCs w:val="20"/>
        </w:rPr>
        <w:t xml:space="preserve"> </w:t>
      </w:r>
      <w:r w:rsidRPr="009F2B04">
        <w:rPr>
          <w:rFonts w:eastAsia="Times New Roman" w:cs="Times New Roman"/>
          <w:color w:val="auto"/>
          <w:szCs w:val="20"/>
        </w:rPr>
        <w:t>71 Fed. Reg. 46547 (2006).</w:t>
      </w:r>
    </w:p>
    <w:p w14:paraId="2D9AF3CD" w14:textId="77777777" w:rsidR="009F2B04" w:rsidRPr="009F2B04" w:rsidRDefault="009F2B04" w:rsidP="009F2B04">
      <w:pPr>
        <w:spacing w:after="0" w:line="240" w:lineRule="auto"/>
        <w:jc w:val="both"/>
        <w:rPr>
          <w:rFonts w:eastAsia="Times New Roman" w:cs="Times New Roman"/>
          <w:color w:val="auto"/>
          <w:szCs w:val="20"/>
          <w:u w:val="single"/>
        </w:rPr>
      </w:pPr>
    </w:p>
    <w:p w14:paraId="2C87C9CE" w14:textId="77777777" w:rsidR="009F2B04" w:rsidRPr="009F2B04" w:rsidRDefault="009F2B04" w:rsidP="009F2B04">
      <w:pPr>
        <w:spacing w:after="0" w:line="240" w:lineRule="auto"/>
        <w:jc w:val="both"/>
        <w:rPr>
          <w:rFonts w:eastAsia="Times New Roman" w:cs="Times New Roman"/>
          <w:color w:val="auto"/>
          <w:szCs w:val="20"/>
        </w:rPr>
      </w:pPr>
      <w:r w:rsidRPr="009F2B04">
        <w:rPr>
          <w:rFonts w:eastAsia="Times New Roman" w:cs="Times New Roman"/>
          <w:color w:val="auto"/>
          <w:szCs w:val="20"/>
        </w:rPr>
        <w:t xml:space="preserve">“300.105(a) requires each public agency to ensure that assistive technology devices (or assistive technology services, or both) are made available to a child with a disability if required as part of the child’s special education, related services, or supplementary aids and services. This provision ties the definition to a child’s educational needs, which public agencies must meet in order to ensure that a child with a disability receives a free appropriate public education (FAPE).” </w:t>
      </w:r>
      <w:r w:rsidR="00A118CD">
        <w:rPr>
          <w:rFonts w:eastAsia="Times New Roman" w:cs="Times New Roman"/>
          <w:color w:val="auto"/>
          <w:szCs w:val="20"/>
        </w:rPr>
        <w:t xml:space="preserve"> </w:t>
      </w:r>
      <w:r w:rsidRPr="009F2B04">
        <w:rPr>
          <w:rFonts w:eastAsia="Times New Roman" w:cs="Times New Roman"/>
          <w:color w:val="auto"/>
          <w:szCs w:val="20"/>
        </w:rPr>
        <w:t>71 Fed. Reg. 46547 (2006).</w:t>
      </w:r>
    </w:p>
    <w:p w14:paraId="70559E81" w14:textId="77777777" w:rsidR="009F2B04" w:rsidRPr="009F2B04" w:rsidRDefault="009F2B04" w:rsidP="009F2B04">
      <w:pPr>
        <w:spacing w:after="0" w:line="240" w:lineRule="auto"/>
        <w:jc w:val="both"/>
        <w:rPr>
          <w:rFonts w:eastAsia="Times New Roman" w:cs="Times New Roman"/>
          <w:color w:val="auto"/>
          <w:szCs w:val="20"/>
        </w:rPr>
      </w:pPr>
    </w:p>
    <w:p w14:paraId="1FAE9D52" w14:textId="77777777" w:rsidR="009F2B04" w:rsidRPr="009F2B04" w:rsidRDefault="009F2B04" w:rsidP="009F2B04">
      <w:pPr>
        <w:spacing w:after="0" w:line="240" w:lineRule="auto"/>
        <w:jc w:val="both"/>
        <w:rPr>
          <w:rFonts w:eastAsia="Times New Roman" w:cs="Times New Roman"/>
          <w:color w:val="auto"/>
          <w:szCs w:val="20"/>
        </w:rPr>
      </w:pPr>
      <w:r w:rsidRPr="009F2B04">
        <w:rPr>
          <w:rFonts w:eastAsia="Times New Roman" w:cs="Times New Roman"/>
          <w:color w:val="auto"/>
          <w:szCs w:val="20"/>
        </w:rPr>
        <w:t xml:space="preserve">“[I]t is the State's responsibility to ensure that Part B funds are spent in accordance with all applicable requirements, and to ensure that the funds are used for special education and related services for children with disabilities, except as provided by 34 CFR § 300.235(a)(l). In addition, all such expenditures must be reasonable and necessary for the program, and any associated indirect costs that are assessed against the use of these funds must not duplicate or exceed the State's negotiated indirect cost rate. These requirements also apply to expenditures related to the purchase of equipment and materials.”  </w:t>
      </w:r>
      <w:hyperlink r:id="rId9" w:history="1">
        <w:r w:rsidRPr="00D50B9B">
          <w:rPr>
            <w:rFonts w:eastAsia="Times New Roman" w:cs="Times New Roman"/>
            <w:i/>
            <w:color w:val="0000FF"/>
            <w:szCs w:val="20"/>
            <w:u w:val="single"/>
          </w:rPr>
          <w:t>OSEP Letter to Picard</w:t>
        </w:r>
        <w:r w:rsidRPr="009F2B04">
          <w:rPr>
            <w:rFonts w:eastAsia="Times New Roman" w:cs="Times New Roman"/>
            <w:color w:val="0000FF"/>
            <w:szCs w:val="20"/>
            <w:u w:val="single"/>
          </w:rPr>
          <w:t xml:space="preserve"> (June 22, 2006)</w:t>
        </w:r>
      </w:hyperlink>
      <w:r w:rsidRPr="007F4B49">
        <w:rPr>
          <w:rFonts w:eastAsia="Times New Roman" w:cs="Times New Roman"/>
          <w:color w:val="000000" w:themeColor="text1"/>
          <w:szCs w:val="20"/>
        </w:rPr>
        <w:t>.</w:t>
      </w:r>
    </w:p>
    <w:p w14:paraId="08D62058" w14:textId="77777777" w:rsidR="009F2B04" w:rsidRPr="009F2B04" w:rsidRDefault="009F2B04" w:rsidP="009F2B04">
      <w:pPr>
        <w:spacing w:after="0" w:line="240" w:lineRule="auto"/>
        <w:jc w:val="both"/>
        <w:rPr>
          <w:rFonts w:eastAsia="Times New Roman" w:cs="Times New Roman"/>
          <w:color w:val="auto"/>
          <w:szCs w:val="20"/>
        </w:rPr>
      </w:pPr>
    </w:p>
    <w:p w14:paraId="19A3835F" w14:textId="77777777" w:rsidR="009F2B04" w:rsidRPr="009F2B04" w:rsidRDefault="00D03BC4" w:rsidP="009F2B04">
      <w:pPr>
        <w:spacing w:after="0" w:line="240" w:lineRule="auto"/>
        <w:jc w:val="both"/>
        <w:rPr>
          <w:rFonts w:eastAsia="Times New Roman" w:cs="Times New Roman"/>
          <w:color w:val="auto"/>
          <w:szCs w:val="20"/>
        </w:rPr>
      </w:pPr>
      <w:r>
        <w:rPr>
          <w:rFonts w:eastAsia="Times New Roman" w:cs="Times New Roman"/>
          <w:color w:val="auto"/>
          <w:szCs w:val="20"/>
        </w:rPr>
        <w:t xml:space="preserve">[Office of Special Education Programs] </w:t>
      </w:r>
      <w:r w:rsidR="009F2B04" w:rsidRPr="009F2B04">
        <w:rPr>
          <w:rFonts w:eastAsia="Times New Roman" w:cs="Times New Roman"/>
          <w:color w:val="auto"/>
          <w:szCs w:val="20"/>
        </w:rPr>
        <w:t>OSEP determines whether “the equipment, materials, and installation costs listed</w:t>
      </w:r>
      <w:r w:rsidR="00A118CD">
        <w:rPr>
          <w:rFonts w:eastAsia="Times New Roman" w:cs="Times New Roman"/>
          <w:color w:val="auto"/>
          <w:szCs w:val="20"/>
        </w:rPr>
        <w:t> . . . </w:t>
      </w:r>
      <w:r w:rsidR="009F2B04" w:rsidRPr="009F2B04">
        <w:rPr>
          <w:rFonts w:eastAsia="Times New Roman" w:cs="Times New Roman"/>
          <w:color w:val="auto"/>
          <w:szCs w:val="20"/>
        </w:rPr>
        <w:t>are reasonable expenditures, and [whether] the education programs for children with disabilities</w:t>
      </w:r>
      <w:r w:rsidR="00A118CD">
        <w:rPr>
          <w:rFonts w:eastAsia="Times New Roman" w:cs="Times New Roman"/>
          <w:color w:val="auto"/>
          <w:szCs w:val="20"/>
        </w:rPr>
        <w:t> . . . </w:t>
      </w:r>
      <w:r w:rsidR="009F2B04" w:rsidRPr="009F2B04">
        <w:rPr>
          <w:rFonts w:eastAsia="Times New Roman" w:cs="Times New Roman"/>
          <w:color w:val="auto"/>
          <w:szCs w:val="20"/>
        </w:rPr>
        <w:t>would be improved by the a</w:t>
      </w:r>
      <w:r w:rsidR="007F4B49">
        <w:rPr>
          <w:rFonts w:eastAsia="Times New Roman" w:cs="Times New Roman"/>
          <w:color w:val="auto"/>
          <w:szCs w:val="20"/>
        </w:rPr>
        <w:t xml:space="preserve">cquisition of this equipment.”  </w:t>
      </w:r>
      <w:r w:rsidR="009F2B04" w:rsidRPr="009F2B04">
        <w:rPr>
          <w:rFonts w:eastAsia="Times New Roman" w:cs="Times New Roman"/>
          <w:color w:val="auto"/>
          <w:szCs w:val="20"/>
        </w:rPr>
        <w:t>OSEP examines whether when “[u]sed as intended, this one-time purchase of equipment and materials [would]</w:t>
      </w:r>
      <w:r w:rsidR="007F4B49">
        <w:rPr>
          <w:rFonts w:eastAsia="Times New Roman" w:cs="Times New Roman"/>
          <w:color w:val="auto"/>
          <w:szCs w:val="20"/>
        </w:rPr>
        <w:t> </w:t>
      </w:r>
      <w:r w:rsidR="009F2B04" w:rsidRPr="009F2B04">
        <w:rPr>
          <w:rFonts w:eastAsia="Times New Roman" w:cs="Times New Roman"/>
          <w:color w:val="auto"/>
          <w:szCs w:val="20"/>
        </w:rPr>
        <w:t>provide</w:t>
      </w:r>
      <w:r w:rsidR="007F4B49">
        <w:rPr>
          <w:rFonts w:eastAsia="Times New Roman" w:cs="Times New Roman"/>
          <w:color w:val="auto"/>
          <w:szCs w:val="20"/>
        </w:rPr>
        <w:t> </w:t>
      </w:r>
      <w:r w:rsidR="009F2B04" w:rsidRPr="009F2B04">
        <w:rPr>
          <w:rFonts w:eastAsia="Times New Roman" w:cs="Times New Roman"/>
          <w:color w:val="auto"/>
          <w:szCs w:val="20"/>
        </w:rPr>
        <w:t>educational benefit to students with</w:t>
      </w:r>
      <w:r w:rsidR="007F4B49">
        <w:t xml:space="preserve"> </w:t>
      </w:r>
      <w:r w:rsidR="009F2B04" w:rsidRPr="009F2B04">
        <w:rPr>
          <w:rFonts w:eastAsia="Times New Roman" w:cs="Times New Roman"/>
          <w:color w:val="auto"/>
          <w:szCs w:val="20"/>
        </w:rPr>
        <w:t>disabilities</w:t>
      </w:r>
      <w:r w:rsidR="007F4B49">
        <w:rPr>
          <w:rFonts w:eastAsia="Times New Roman" w:cs="Times New Roman"/>
          <w:color w:val="auto"/>
          <w:szCs w:val="20"/>
        </w:rPr>
        <w:t> </w:t>
      </w:r>
      <w:r w:rsidR="00A118CD">
        <w:rPr>
          <w:rFonts w:eastAsia="Times New Roman" w:cs="Times New Roman"/>
          <w:color w:val="auto"/>
          <w:szCs w:val="20"/>
        </w:rPr>
        <w:t>. . .</w:t>
      </w:r>
      <w:r w:rsidR="007F4B49" w:rsidRPr="009F2B04">
        <w:rPr>
          <w:rFonts w:eastAsia="Times New Roman" w:cs="Times New Roman"/>
          <w:color w:val="auto"/>
          <w:szCs w:val="20"/>
        </w:rPr>
        <w:t>”</w:t>
      </w:r>
      <w:r w:rsidR="00A118CD">
        <w:rPr>
          <w:rFonts w:eastAsia="Times New Roman" w:cs="Times New Roman"/>
          <w:color w:val="auto"/>
          <w:szCs w:val="20"/>
        </w:rPr>
        <w:t> </w:t>
      </w:r>
      <w:hyperlink r:id="rId10" w:history="1">
        <w:r w:rsidR="009F2B04" w:rsidRPr="00D50B9B">
          <w:rPr>
            <w:rFonts w:eastAsia="Times New Roman" w:cs="Times New Roman"/>
            <w:i/>
            <w:color w:val="0000FF"/>
            <w:szCs w:val="20"/>
            <w:u w:val="single"/>
          </w:rPr>
          <w:t>OSEP Letter to Picard</w:t>
        </w:r>
        <w:r w:rsidR="009F2B04" w:rsidRPr="009F2B04">
          <w:rPr>
            <w:rFonts w:eastAsia="Times New Roman" w:cs="Times New Roman"/>
            <w:color w:val="0000FF"/>
            <w:szCs w:val="20"/>
            <w:u w:val="single"/>
          </w:rPr>
          <w:t xml:space="preserve"> (April 5, 2005)</w:t>
        </w:r>
      </w:hyperlink>
      <w:r w:rsidR="009F2B04" w:rsidRPr="007F4B49">
        <w:rPr>
          <w:rFonts w:eastAsia="Times New Roman" w:cs="Times New Roman"/>
          <w:color w:val="000000" w:themeColor="text1"/>
          <w:szCs w:val="20"/>
        </w:rPr>
        <w:t>.</w:t>
      </w:r>
    </w:p>
    <w:p w14:paraId="30F39E37" w14:textId="77777777" w:rsidR="009F2B04" w:rsidRPr="009F2B04" w:rsidRDefault="009F2B04" w:rsidP="009F2B04">
      <w:pPr>
        <w:spacing w:after="0" w:line="240" w:lineRule="auto"/>
        <w:jc w:val="both"/>
        <w:rPr>
          <w:rFonts w:eastAsia="Times New Roman" w:cs="Times New Roman"/>
          <w:color w:val="auto"/>
          <w:szCs w:val="20"/>
        </w:rPr>
      </w:pPr>
    </w:p>
    <w:p w14:paraId="0D09817F" w14:textId="77777777" w:rsidR="009F2B04" w:rsidRPr="009F2B04" w:rsidRDefault="009F2B04" w:rsidP="009F2B04">
      <w:pPr>
        <w:spacing w:after="0" w:line="240" w:lineRule="auto"/>
        <w:jc w:val="both"/>
        <w:rPr>
          <w:rFonts w:eastAsia="Times New Roman" w:cs="Times New Roman"/>
          <w:color w:val="auto"/>
          <w:szCs w:val="20"/>
        </w:rPr>
      </w:pPr>
      <w:r w:rsidRPr="009F2B04">
        <w:rPr>
          <w:rFonts w:eastAsia="Times New Roman" w:cs="Times New Roman"/>
          <w:color w:val="auto"/>
          <w:szCs w:val="20"/>
        </w:rPr>
        <w:t xml:space="preserve">“If the </w:t>
      </w:r>
      <w:r w:rsidR="007F4B49">
        <w:rPr>
          <w:rFonts w:eastAsia="Times New Roman" w:cs="Times New Roman"/>
          <w:color w:val="auto"/>
          <w:szCs w:val="20"/>
        </w:rPr>
        <w:t>[individuali</w:t>
      </w:r>
      <w:r w:rsidR="00590830">
        <w:rPr>
          <w:rFonts w:eastAsia="Times New Roman" w:cs="Times New Roman"/>
          <w:color w:val="auto"/>
          <w:szCs w:val="20"/>
        </w:rPr>
        <w:t xml:space="preserve">zed education program] </w:t>
      </w:r>
      <w:r w:rsidRPr="009F2B04">
        <w:rPr>
          <w:rFonts w:eastAsia="Times New Roman" w:cs="Times New Roman"/>
          <w:color w:val="auto"/>
          <w:szCs w:val="20"/>
        </w:rPr>
        <w:t>IEP team determines that a particular assistive technology item is required for home use in order for a particular child to be provided FAPE, the technology must be provided to implement the IEP</w:t>
      </w:r>
      <w:r w:rsidR="00A118CD">
        <w:rPr>
          <w:rFonts w:eastAsia="Times New Roman" w:cs="Times New Roman"/>
          <w:color w:val="auto"/>
          <w:szCs w:val="20"/>
        </w:rPr>
        <w:t> . . . </w:t>
      </w:r>
      <w:r w:rsidRPr="009F2B04">
        <w:rPr>
          <w:rFonts w:eastAsia="Times New Roman" w:cs="Times New Roman"/>
          <w:color w:val="auto"/>
          <w:szCs w:val="20"/>
        </w:rPr>
        <w:t>Part B does not recognize any authority on the part of a local School Board to unilaterally change the statement of special education and related services contained in the IEP. After the IEP is developed and the placement decision is made by a group of persons knowledgeable about the child, the meaning of the evaluation data and placement options, the public agency must implement the IEP</w:t>
      </w:r>
      <w:r w:rsidR="00A118CD">
        <w:rPr>
          <w:rFonts w:eastAsia="Times New Roman" w:cs="Times New Roman"/>
          <w:color w:val="auto"/>
          <w:szCs w:val="20"/>
        </w:rPr>
        <w:t> . . . </w:t>
      </w:r>
      <w:r w:rsidRPr="009F2B04">
        <w:rPr>
          <w:rFonts w:eastAsia="Times New Roman" w:cs="Times New Roman"/>
          <w:color w:val="auto"/>
          <w:szCs w:val="20"/>
        </w:rPr>
        <w:t>It is expected that the special education and related services set out in the IEP will be provided by the agency beginning immediately after the IEP is finalized. In certain circumstances such as when the IEP meeting occurs during the summer or a vacation period, or where there are circumstances which require a short delay (e.g., working out transportation arrangements) the implementation may not be immediate.”</w:t>
      </w:r>
      <w:r w:rsidR="00D50B9B">
        <w:rPr>
          <w:rFonts w:eastAsia="Times New Roman" w:cs="Times New Roman"/>
          <w:color w:val="auto"/>
          <w:szCs w:val="20"/>
        </w:rPr>
        <w:t xml:space="preserve"> </w:t>
      </w:r>
      <w:r w:rsidRPr="009F2B04">
        <w:rPr>
          <w:rFonts w:eastAsia="Times New Roman" w:cs="Times New Roman"/>
          <w:color w:val="auto"/>
          <w:szCs w:val="20"/>
        </w:rPr>
        <w:t xml:space="preserve"> </w:t>
      </w:r>
      <w:hyperlink r:id="rId11" w:history="1">
        <w:r w:rsidRPr="00630F6C">
          <w:rPr>
            <w:rStyle w:val="Hyperlink"/>
            <w:rFonts w:eastAsia="Times New Roman" w:cs="Times New Roman"/>
            <w:i/>
            <w:color w:val="0000FF"/>
            <w:szCs w:val="20"/>
          </w:rPr>
          <w:t>OSEP Letter to Anonymous</w:t>
        </w:r>
        <w:r w:rsidRPr="00630F6C">
          <w:rPr>
            <w:rStyle w:val="Hyperlink"/>
            <w:rFonts w:eastAsia="Times New Roman" w:cs="Times New Roman"/>
            <w:color w:val="0000FF"/>
            <w:szCs w:val="20"/>
          </w:rPr>
          <w:t xml:space="preserve"> (November 27, 1991)</w:t>
        </w:r>
      </w:hyperlink>
      <w:r w:rsidRPr="009F2B04">
        <w:rPr>
          <w:rFonts w:eastAsia="Times New Roman" w:cs="Times New Roman"/>
          <w:color w:val="auto"/>
          <w:szCs w:val="20"/>
        </w:rPr>
        <w:t>.</w:t>
      </w:r>
    </w:p>
    <w:p w14:paraId="40B98CA0" w14:textId="77777777" w:rsidR="009F2B04" w:rsidRPr="009F2B04" w:rsidRDefault="009F2B04" w:rsidP="009F2B04">
      <w:pPr>
        <w:spacing w:after="0" w:line="240" w:lineRule="auto"/>
        <w:jc w:val="both"/>
        <w:rPr>
          <w:rFonts w:eastAsia="Times New Roman" w:cs="Times New Roman"/>
          <w:color w:val="auto"/>
          <w:szCs w:val="20"/>
        </w:rPr>
      </w:pPr>
    </w:p>
    <w:p w14:paraId="2954A567" w14:textId="77777777" w:rsidR="009F2B04" w:rsidRPr="009F2B04" w:rsidRDefault="009F2B04" w:rsidP="009F2B04">
      <w:pPr>
        <w:spacing w:after="0" w:line="240" w:lineRule="auto"/>
        <w:jc w:val="both"/>
        <w:rPr>
          <w:rFonts w:eastAsia="Times New Roman" w:cs="Times New Roman"/>
          <w:color w:val="auto"/>
          <w:szCs w:val="20"/>
        </w:rPr>
      </w:pPr>
      <w:r w:rsidRPr="009F2B04">
        <w:rPr>
          <w:rFonts w:eastAsia="Times New Roman" w:cs="Times New Roman"/>
          <w:color w:val="auto"/>
          <w:szCs w:val="20"/>
        </w:rPr>
        <w:t xml:space="preserve">“The public agency may place equipment and supplies in a private school, but only for the period of time needed to meet the equitable participation requirements for the Part B program. </w:t>
      </w:r>
      <w:r w:rsidRPr="009F2B04">
        <w:rPr>
          <w:rFonts w:eastAsia="Times New Roman" w:cs="Times New Roman"/>
          <w:color w:val="auto"/>
          <w:szCs w:val="20"/>
        </w:rPr>
        <w:lastRenderedPageBreak/>
        <w:t xml:space="preserve">The public agency must ensure that equipment and supplies placed in a private school are used only for Part B purposes and can be removed from the private school without remodeling the private school facility. The public agency must remove equipment and supplies from a private school if the equipment and supplies are no longer needed for Part B purposes or if removal is necessary to avoid unauthorized use of the equipment and supplies for other than Part B purposes.”  </w:t>
      </w:r>
      <w:hyperlink r:id="rId12" w:history="1">
        <w:r w:rsidRPr="00D50B9B">
          <w:rPr>
            <w:rFonts w:eastAsia="Times New Roman" w:cs="Times New Roman"/>
            <w:i/>
            <w:color w:val="0000FF"/>
            <w:szCs w:val="20"/>
            <w:u w:val="single"/>
          </w:rPr>
          <w:t>OSERS Questions and Answers on Serving Children with Disabilities Placed by Their Parents in Private Schools</w:t>
        </w:r>
        <w:r w:rsidRPr="009F2B04">
          <w:rPr>
            <w:rFonts w:eastAsia="Times New Roman" w:cs="Times New Roman"/>
            <w:color w:val="0000FF"/>
            <w:szCs w:val="20"/>
            <w:u w:val="single"/>
          </w:rPr>
          <w:t xml:space="preserve"> (April 2011)</w:t>
        </w:r>
      </w:hyperlink>
      <w:r w:rsidRPr="007F4B49">
        <w:rPr>
          <w:rFonts w:eastAsia="Times New Roman" w:cs="Times New Roman"/>
          <w:color w:val="000000" w:themeColor="text1"/>
          <w:szCs w:val="20"/>
        </w:rPr>
        <w:t>.</w:t>
      </w:r>
    </w:p>
    <w:p w14:paraId="2F5A1AA3" w14:textId="77777777" w:rsidR="009F2B04" w:rsidRPr="009F2B04" w:rsidRDefault="009F2B04" w:rsidP="009F2B04">
      <w:pPr>
        <w:spacing w:after="0" w:line="240" w:lineRule="auto"/>
        <w:jc w:val="both"/>
        <w:rPr>
          <w:rFonts w:eastAsia="Times New Roman" w:cs="Times New Roman"/>
          <w:color w:val="auto"/>
          <w:szCs w:val="20"/>
        </w:rPr>
      </w:pPr>
    </w:p>
    <w:p w14:paraId="2EBCBE3A" w14:textId="77777777" w:rsidR="009F2B04" w:rsidRPr="009F2B04" w:rsidRDefault="009F2B04" w:rsidP="009F2B04">
      <w:pPr>
        <w:spacing w:after="0" w:line="240" w:lineRule="auto"/>
        <w:jc w:val="both"/>
        <w:rPr>
          <w:rFonts w:eastAsia="Times New Roman" w:cs="Times New Roman"/>
          <w:color w:val="auto"/>
          <w:szCs w:val="20"/>
        </w:rPr>
      </w:pPr>
      <w:r w:rsidRPr="009F2B04">
        <w:rPr>
          <w:rFonts w:eastAsia="Times New Roman" w:cs="Times New Roman"/>
          <w:color w:val="auto"/>
          <w:szCs w:val="20"/>
        </w:rPr>
        <w:t>“In instances where Part B funds have been used to purchase an assistive technology device for a student with a disability to carry out the student's IEP, school districts can collaborate with state vocational rehabilitation agencies to make arrangements for a student to continue to use that device as he or she transitions to, and participates in, a state vocational rehabilitation services program which is funded under Title I of the Rehabilitation Act.”</w:t>
      </w:r>
      <w:r w:rsidR="00D50B9B">
        <w:rPr>
          <w:rFonts w:eastAsia="Times New Roman" w:cs="Times New Roman"/>
          <w:color w:val="auto"/>
          <w:szCs w:val="20"/>
        </w:rPr>
        <w:t xml:space="preserve"> </w:t>
      </w:r>
      <w:r w:rsidRPr="009F2B04">
        <w:rPr>
          <w:rFonts w:eastAsia="Times New Roman" w:cs="Times New Roman"/>
          <w:color w:val="auto"/>
          <w:szCs w:val="20"/>
        </w:rPr>
        <w:t xml:space="preserve"> </w:t>
      </w:r>
      <w:hyperlink r:id="rId13" w:history="1">
        <w:r w:rsidRPr="009C236C">
          <w:rPr>
            <w:rStyle w:val="Hyperlink"/>
            <w:rFonts w:eastAsia="Times New Roman" w:cs="Times New Roman"/>
            <w:i/>
            <w:color w:val="0000FF"/>
            <w:szCs w:val="20"/>
          </w:rPr>
          <w:t>OSEP Letter to Goodman</w:t>
        </w:r>
        <w:r w:rsidRPr="009C236C">
          <w:rPr>
            <w:rStyle w:val="Hyperlink"/>
            <w:rFonts w:eastAsia="Times New Roman" w:cs="Times New Roman"/>
            <w:color w:val="0000FF"/>
            <w:szCs w:val="20"/>
          </w:rPr>
          <w:t xml:space="preserve"> (June 21, 1998)</w:t>
        </w:r>
      </w:hyperlink>
      <w:r w:rsidRPr="007F4B49">
        <w:rPr>
          <w:rFonts w:eastAsia="Times New Roman" w:cs="Times New Roman"/>
          <w:color w:val="000000" w:themeColor="text1"/>
          <w:szCs w:val="20"/>
        </w:rPr>
        <w:t>.</w:t>
      </w:r>
    </w:p>
    <w:p w14:paraId="19DA76D6" w14:textId="77777777" w:rsidR="009F2B04" w:rsidRPr="009F2B04" w:rsidRDefault="009F2B04" w:rsidP="009F2B04">
      <w:pPr>
        <w:spacing w:after="0" w:line="240" w:lineRule="auto"/>
        <w:jc w:val="both"/>
        <w:rPr>
          <w:rFonts w:eastAsia="Times New Roman" w:cs="Times New Roman"/>
          <w:color w:val="auto"/>
          <w:szCs w:val="20"/>
        </w:rPr>
      </w:pPr>
    </w:p>
    <w:p w14:paraId="6D0DB952" w14:textId="58C93DF1" w:rsidR="004E2A26" w:rsidRPr="004E2A26" w:rsidRDefault="004E2A26" w:rsidP="006E3F0A">
      <w:pPr>
        <w:spacing w:after="0" w:line="240" w:lineRule="auto"/>
        <w:jc w:val="both"/>
        <w:rPr>
          <w:rFonts w:eastAsia="Times New Roman" w:cs="Times New Roman"/>
          <w:color w:val="auto"/>
          <w:szCs w:val="20"/>
        </w:rPr>
      </w:pPr>
      <w:r w:rsidRPr="004E2A26">
        <w:rPr>
          <w:rFonts w:eastAsia="Times New Roman" w:cs="Times New Roman"/>
          <w:color w:val="auto"/>
          <w:szCs w:val="20"/>
        </w:rPr>
        <w:t>Through the implementation of the</w:t>
      </w:r>
      <w:r w:rsidR="00257F68">
        <w:rPr>
          <w:rFonts w:eastAsia="Times New Roman" w:cs="Times New Roman"/>
          <w:color w:val="auto"/>
          <w:szCs w:val="20"/>
        </w:rPr>
        <w:t xml:space="preserve"> </w:t>
      </w:r>
      <w:r w:rsidR="00190544">
        <w:rPr>
          <w:rFonts w:eastAsia="Times New Roman" w:cs="Times New Roman"/>
          <w:color w:val="auto"/>
          <w:szCs w:val="20"/>
        </w:rPr>
        <w:t xml:space="preserve">member </w:t>
      </w:r>
      <w:r w:rsidR="00257F68">
        <w:rPr>
          <w:rFonts w:eastAsia="Times New Roman" w:cs="Times New Roman"/>
          <w:color w:val="auto"/>
          <w:szCs w:val="20"/>
        </w:rPr>
        <w:t>district</w:t>
      </w:r>
      <w:r w:rsidRPr="004E2A26">
        <w:rPr>
          <w:rFonts w:eastAsia="Times New Roman" w:cs="Times New Roman"/>
          <w:color w:val="auto"/>
          <w:szCs w:val="20"/>
        </w:rPr>
        <w:t xml:space="preserve"> policies and procedures as outlined in the </w:t>
      </w:r>
      <w:hyperlink r:id="rId14" w:history="1">
        <w:r w:rsidRPr="00462709">
          <w:rPr>
            <w:rStyle w:val="Hyperlink"/>
            <w:rFonts w:eastAsia="Times New Roman" w:cs="Times New Roman"/>
            <w:color w:val="0000FF"/>
            <w:szCs w:val="20"/>
          </w:rPr>
          <w:t>Legal Framework</w:t>
        </w:r>
      </w:hyperlink>
      <w:r w:rsidRPr="004E2A26">
        <w:rPr>
          <w:rFonts w:eastAsia="Times New Roman" w:cs="Times New Roman"/>
          <w:color w:val="auto"/>
          <w:szCs w:val="20"/>
        </w:rPr>
        <w:t xml:space="preserve"> for the Child-Centered Special Education Process, the</w:t>
      </w:r>
      <w:r w:rsidR="00257F68">
        <w:rPr>
          <w:rFonts w:eastAsia="Times New Roman" w:cs="Times New Roman"/>
          <w:color w:val="auto"/>
          <w:szCs w:val="20"/>
        </w:rPr>
        <w:t xml:space="preserve"> </w:t>
      </w:r>
      <w:r w:rsidR="00190544">
        <w:rPr>
          <w:rFonts w:eastAsia="Times New Roman" w:cs="Times New Roman"/>
          <w:color w:val="auto"/>
          <w:szCs w:val="20"/>
        </w:rPr>
        <w:t xml:space="preserve">member </w:t>
      </w:r>
      <w:r w:rsidR="00257F68">
        <w:rPr>
          <w:rFonts w:eastAsia="Times New Roman" w:cs="Times New Roman"/>
          <w:color w:val="auto"/>
          <w:szCs w:val="20"/>
        </w:rPr>
        <w:t>district</w:t>
      </w:r>
      <w:r w:rsidRPr="004E2A26">
        <w:rPr>
          <w:rFonts w:eastAsia="Times New Roman" w:cs="Times New Roman"/>
          <w:color w:val="auto"/>
          <w:szCs w:val="20"/>
        </w:rPr>
        <w:t xml:space="preserve"> ensures </w:t>
      </w:r>
      <w:r w:rsidR="009F2B04" w:rsidRPr="009F2B04">
        <w:rPr>
          <w:rFonts w:eastAsia="Times New Roman" w:cs="Times New Roman"/>
          <w:color w:val="auto"/>
          <w:szCs w:val="20"/>
        </w:rPr>
        <w:t>the proper administration of equipment as required by the</w:t>
      </w:r>
      <w:r w:rsidR="007F4B49">
        <w:rPr>
          <w:rFonts w:eastAsia="Times New Roman" w:cs="Times New Roman"/>
          <w:color w:val="auto"/>
          <w:szCs w:val="20"/>
        </w:rPr>
        <w:t xml:space="preserve"> Individuals with Disabilities Education Act (</w:t>
      </w:r>
      <w:r w:rsidR="009F2B04" w:rsidRPr="009F2B04">
        <w:rPr>
          <w:rFonts w:eastAsia="Times New Roman" w:cs="Times New Roman"/>
          <w:color w:val="auto"/>
          <w:szCs w:val="20"/>
        </w:rPr>
        <w:t>IDEA</w:t>
      </w:r>
      <w:r w:rsidR="007F4B49">
        <w:rPr>
          <w:rFonts w:eastAsia="Times New Roman" w:cs="Times New Roman"/>
          <w:color w:val="auto"/>
          <w:szCs w:val="20"/>
        </w:rPr>
        <w:t>)</w:t>
      </w:r>
      <w:r w:rsidR="009F2B04" w:rsidRPr="009F2B04">
        <w:rPr>
          <w:rFonts w:eastAsia="Times New Roman" w:cs="Times New Roman"/>
          <w:color w:val="auto"/>
          <w:szCs w:val="20"/>
        </w:rPr>
        <w:t xml:space="preserve"> and its accompanying federal regulations, state statutes and regulations</w:t>
      </w:r>
      <w:r w:rsidRPr="004E2A26">
        <w:rPr>
          <w:rFonts w:eastAsia="Times New Roman" w:cs="Times New Roman"/>
          <w:color w:val="auto"/>
          <w:szCs w:val="20"/>
        </w:rPr>
        <w:t>.</w:t>
      </w:r>
    </w:p>
    <w:p w14:paraId="428B66DD" w14:textId="77777777" w:rsidR="00E21132" w:rsidRPr="002045E8" w:rsidRDefault="00E21132" w:rsidP="006E3F0A">
      <w:pPr>
        <w:spacing w:after="0" w:line="240" w:lineRule="auto"/>
        <w:jc w:val="both"/>
        <w:rPr>
          <w:rFonts w:eastAsia="Times New Roman" w:cs="Times New Roman"/>
          <w:color w:val="auto"/>
          <w:szCs w:val="20"/>
        </w:rPr>
      </w:pPr>
    </w:p>
    <w:p w14:paraId="78F611A9" w14:textId="77777777" w:rsidR="00DB231F" w:rsidRDefault="0053136E" w:rsidP="009415A3">
      <w:pPr>
        <w:spacing w:after="0" w:line="240" w:lineRule="auto"/>
        <w:rPr>
          <w:szCs w:val="20"/>
        </w:rPr>
      </w:pPr>
      <w:r>
        <w:rPr>
          <w:szCs w:val="20"/>
        </w:rPr>
        <w:pict w14:anchorId="6B0543AA">
          <v:rect id="_x0000_i1025" style="width:468pt;height:3pt" o:hralign="center" o:hrstd="t" o:hrnoshade="t" o:hr="t" fillcolor="#0f3966 [3204]" stroked="f"/>
        </w:pict>
      </w:r>
    </w:p>
    <w:p w14:paraId="7A2FD787" w14:textId="77777777" w:rsidR="00694328" w:rsidRPr="00356FCF" w:rsidRDefault="00694328" w:rsidP="00694328">
      <w:pPr>
        <w:spacing w:after="120" w:line="240" w:lineRule="auto"/>
        <w:rPr>
          <w:color w:val="auto"/>
        </w:rPr>
      </w:pPr>
      <w:r w:rsidRPr="00356FCF">
        <w:rPr>
          <w:color w:val="auto"/>
        </w:rPr>
        <w:t xml:space="preserve">IDEA B, 300.105 (a) requires each public agency to ensure that assistive technology devices, services or both are made available to a child with a disability if required as part of the child’s special education, related services, or supplementary aids and services. </w:t>
      </w:r>
    </w:p>
    <w:p w14:paraId="617BF224" w14:textId="28AC454A" w:rsidR="00850B01" w:rsidRPr="0040108C" w:rsidRDefault="00694328" w:rsidP="00694328">
      <w:pPr>
        <w:spacing w:after="120" w:line="240" w:lineRule="auto"/>
        <w:rPr>
          <w:rFonts w:ascii="Calibri" w:hAnsi="Calibri" w:cs="Calibri"/>
          <w:iCs/>
          <w:color w:val="auto"/>
          <w:sz w:val="24"/>
          <w:shd w:val="clear" w:color="auto" w:fill="FFFFFF"/>
        </w:rPr>
      </w:pPr>
      <w:r w:rsidRPr="00356FCF">
        <w:rPr>
          <w:iCs/>
          <w:color w:val="auto"/>
          <w:szCs w:val="20"/>
          <w:shd w:val="clear" w:color="auto" w:fill="FFFFFF"/>
        </w:rPr>
        <w:t xml:space="preserve">Student use in a school setting of any assistive technology, including but not limited to 2 way listening/talking devices, GPS locators, etc., must be discussed at the IEP meeting. All variables to the use of such devices will be considered. Federal information privacy laws require consideration of other student's rights before any auditory device may be used in a </w:t>
      </w:r>
      <w:r w:rsidRPr="0040108C">
        <w:rPr>
          <w:rFonts w:ascii="Calibri" w:hAnsi="Calibri" w:cs="Calibri"/>
          <w:iCs/>
          <w:color w:val="auto"/>
          <w:sz w:val="24"/>
          <w:shd w:val="clear" w:color="auto" w:fill="FFFFFF"/>
        </w:rPr>
        <w:t>school setting. Discussion of assistive technology needs of the student will be documented on district forms and filed by the educational diagnostician/LSSP in the student’s special education eligibility folder.</w:t>
      </w:r>
    </w:p>
    <w:p w14:paraId="0F2FC0E5" w14:textId="77777777" w:rsidR="00694328" w:rsidRPr="0040108C" w:rsidRDefault="00694328" w:rsidP="00694328">
      <w:pPr>
        <w:spacing w:after="120" w:line="240" w:lineRule="auto"/>
        <w:rPr>
          <w:rFonts w:ascii="Calibri" w:hAnsi="Calibri" w:cs="Calibri"/>
          <w:color w:val="auto"/>
          <w:sz w:val="24"/>
        </w:rPr>
      </w:pPr>
      <w:r w:rsidRPr="0040108C">
        <w:rPr>
          <w:rFonts w:ascii="Calibri" w:hAnsi="Calibri" w:cs="Calibri"/>
          <w:color w:val="auto"/>
          <w:sz w:val="24"/>
        </w:rPr>
        <w:t>If the ARD Committee determines that a particular assistive technology is required for home use in order for a particular child to be provided FAPE, the technology must be provided to implement the IEP.</w:t>
      </w:r>
    </w:p>
    <w:p w14:paraId="4E841AD7" w14:textId="32B47BA6" w:rsidR="00694328" w:rsidRPr="0040108C" w:rsidRDefault="00694328" w:rsidP="00694328">
      <w:pPr>
        <w:spacing w:after="120" w:line="240" w:lineRule="auto"/>
        <w:rPr>
          <w:rFonts w:ascii="Calibri" w:hAnsi="Calibri" w:cs="Calibri"/>
          <w:color w:val="auto"/>
          <w:sz w:val="24"/>
        </w:rPr>
      </w:pPr>
      <w:r w:rsidRPr="0040108C">
        <w:rPr>
          <w:rFonts w:ascii="Calibri" w:hAnsi="Calibri" w:cs="Calibri"/>
          <w:color w:val="auto"/>
          <w:sz w:val="24"/>
        </w:rPr>
        <w:t xml:space="preserve">The district ensures the proper administration of equipment as required by IDEA and its accompanying federal regulations, state statutes and regulations. </w:t>
      </w:r>
    </w:p>
    <w:p w14:paraId="4D663692" w14:textId="37FA8D6E" w:rsidR="006868F5" w:rsidRPr="0040108C" w:rsidRDefault="006868F5" w:rsidP="006868F5">
      <w:pPr>
        <w:spacing w:before="120" w:line="240" w:lineRule="auto"/>
        <w:jc w:val="both"/>
        <w:rPr>
          <w:rFonts w:ascii="Calibri" w:hAnsi="Calibri" w:cs="Calibri"/>
          <w:color w:val="auto"/>
          <w:sz w:val="24"/>
        </w:rPr>
      </w:pPr>
      <w:r w:rsidRPr="0040108C">
        <w:rPr>
          <w:rFonts w:ascii="Calibri" w:hAnsi="Calibri" w:cs="Calibri"/>
          <w:color w:val="auto"/>
          <w:sz w:val="24"/>
        </w:rPr>
        <w:t xml:space="preserve">The </w:t>
      </w:r>
      <w:r w:rsidR="00B96EED">
        <w:rPr>
          <w:rFonts w:ascii="Calibri" w:hAnsi="Calibri" w:cs="Calibri"/>
          <w:color w:val="auto"/>
          <w:sz w:val="24"/>
        </w:rPr>
        <w:t>d</w:t>
      </w:r>
      <w:r w:rsidRPr="0040108C">
        <w:rPr>
          <w:rFonts w:ascii="Calibri" w:hAnsi="Calibri" w:cs="Calibri"/>
          <w:color w:val="auto"/>
          <w:sz w:val="24"/>
        </w:rPr>
        <w:t xml:space="preserve">istrict is responsible for the acquisition and maintenance of Assistive Technology equipment belonging to </w:t>
      </w:r>
      <w:r w:rsidR="00D07BF4" w:rsidRPr="0040108C">
        <w:rPr>
          <w:rFonts w:ascii="Calibri" w:hAnsi="Calibri" w:cs="Calibri"/>
          <w:color w:val="auto"/>
          <w:sz w:val="24"/>
        </w:rPr>
        <w:t xml:space="preserve">the </w:t>
      </w:r>
      <w:r w:rsidR="00B96EED">
        <w:rPr>
          <w:rFonts w:ascii="Calibri" w:hAnsi="Calibri" w:cs="Calibri"/>
          <w:color w:val="auto"/>
          <w:sz w:val="24"/>
        </w:rPr>
        <w:t>d</w:t>
      </w:r>
      <w:r w:rsidR="00D07BF4" w:rsidRPr="0040108C">
        <w:rPr>
          <w:rFonts w:ascii="Calibri" w:hAnsi="Calibri" w:cs="Calibri"/>
          <w:color w:val="auto"/>
          <w:sz w:val="24"/>
        </w:rPr>
        <w:t>istrict</w:t>
      </w:r>
      <w:r w:rsidRPr="0040108C">
        <w:rPr>
          <w:rFonts w:ascii="Calibri" w:hAnsi="Calibri" w:cs="Calibri"/>
          <w:color w:val="auto"/>
          <w:sz w:val="24"/>
        </w:rPr>
        <w:t xml:space="preserve">. </w:t>
      </w:r>
    </w:p>
    <w:p w14:paraId="3CF84444" w14:textId="25A0093A" w:rsidR="00B63D83" w:rsidRPr="0040108C" w:rsidRDefault="00356FCF" w:rsidP="00694328">
      <w:pPr>
        <w:spacing w:after="120" w:line="240" w:lineRule="auto"/>
        <w:rPr>
          <w:rFonts w:ascii="Calibri" w:hAnsi="Calibri" w:cs="Calibri"/>
          <w:color w:val="auto"/>
          <w:sz w:val="24"/>
        </w:rPr>
      </w:pPr>
      <w:r w:rsidRPr="0040108C">
        <w:rPr>
          <w:rFonts w:ascii="Calibri" w:hAnsi="Calibri" w:cs="Calibri"/>
          <w:color w:val="auto"/>
          <w:sz w:val="24"/>
        </w:rPr>
        <w:t>The district</w:t>
      </w:r>
      <w:r w:rsidR="00694328" w:rsidRPr="0040108C">
        <w:rPr>
          <w:rFonts w:ascii="Calibri" w:hAnsi="Calibri" w:cs="Calibri"/>
          <w:color w:val="auto"/>
          <w:sz w:val="24"/>
        </w:rPr>
        <w:t xml:space="preserve"> will follow the students’ IEP and implement the Assistive Technology equipment as determined by the ARD Committee. </w:t>
      </w:r>
    </w:p>
    <w:p w14:paraId="4265B472" w14:textId="36416851" w:rsidR="00B63D83" w:rsidRDefault="00694328" w:rsidP="00694328">
      <w:pPr>
        <w:spacing w:after="120" w:line="240" w:lineRule="auto"/>
        <w:rPr>
          <w:color w:val="auto"/>
        </w:rPr>
      </w:pPr>
      <w:r w:rsidRPr="00356FCF">
        <w:rPr>
          <w:color w:val="auto"/>
        </w:rPr>
        <w:t xml:space="preserve">At the end of the school year, the Assistive Technology equipment </w:t>
      </w:r>
      <w:r w:rsidR="00D07BF4">
        <w:rPr>
          <w:color w:val="auto"/>
        </w:rPr>
        <w:t>will be collected from each teacher</w:t>
      </w:r>
      <w:r w:rsidRPr="00356FCF">
        <w:rPr>
          <w:color w:val="auto"/>
        </w:rPr>
        <w:t xml:space="preserve"> in order to inventory the equipment annually. </w:t>
      </w:r>
    </w:p>
    <w:p w14:paraId="71A6B5B0" w14:textId="2AD76380" w:rsidR="00694328" w:rsidRDefault="00694328" w:rsidP="00694328">
      <w:pPr>
        <w:spacing w:after="120" w:line="240" w:lineRule="auto"/>
        <w:rPr>
          <w:color w:val="auto"/>
        </w:rPr>
      </w:pPr>
      <w:r w:rsidRPr="00356FCF">
        <w:rPr>
          <w:color w:val="auto"/>
        </w:rPr>
        <w:lastRenderedPageBreak/>
        <w:t xml:space="preserve">If the ARD Committee determines that the student needs access to the equipment over the summer, the </w:t>
      </w:r>
      <w:r w:rsidR="00356FCF" w:rsidRPr="00356FCF">
        <w:rPr>
          <w:color w:val="auto"/>
        </w:rPr>
        <w:t xml:space="preserve">Assistive Technology Team </w:t>
      </w:r>
      <w:r w:rsidRPr="00356FCF">
        <w:rPr>
          <w:color w:val="auto"/>
        </w:rPr>
        <w:t>will have the parents sign a form to check out the equipment for the summer.</w:t>
      </w:r>
    </w:p>
    <w:p w14:paraId="71798DF3" w14:textId="44F2F8ED" w:rsidR="006868F5" w:rsidRPr="00B00A4C" w:rsidRDefault="00B00A4C" w:rsidP="006868F5">
      <w:pPr>
        <w:spacing w:after="120" w:line="240" w:lineRule="auto"/>
        <w:rPr>
          <w:rFonts w:cs="Calibri"/>
          <w:b/>
          <w:color w:val="000000" w:themeColor="text1"/>
          <w:szCs w:val="20"/>
        </w:rPr>
      </w:pPr>
      <w:r>
        <w:rPr>
          <w:rFonts w:cs="Calibri"/>
          <w:b/>
          <w:color w:val="000000" w:themeColor="text1"/>
          <w:szCs w:val="20"/>
        </w:rPr>
        <w:t xml:space="preserve">Staff Responsible: </w:t>
      </w:r>
      <w:r w:rsidR="006868F5" w:rsidRPr="00430ABA">
        <w:rPr>
          <w:rFonts w:ascii="Calibri" w:hAnsi="Calibri" w:cs="Calibri"/>
          <w:b/>
          <w:color w:val="000000"/>
          <w:sz w:val="24"/>
        </w:rPr>
        <w:t xml:space="preserve"> </w:t>
      </w:r>
    </w:p>
    <w:p w14:paraId="5F47A7E6" w14:textId="77777777" w:rsidR="006868F5" w:rsidRPr="006E0607" w:rsidRDefault="006868F5" w:rsidP="006868F5">
      <w:pPr>
        <w:spacing w:after="120" w:line="240" w:lineRule="auto"/>
        <w:ind w:firstLine="720"/>
        <w:contextualSpacing/>
        <w:rPr>
          <w:rFonts w:ascii="Calibri" w:hAnsi="Calibri" w:cs="Calibri"/>
          <w:color w:val="000000" w:themeColor="text1"/>
          <w:sz w:val="24"/>
        </w:rPr>
      </w:pPr>
      <w:r w:rsidRPr="00430ABA">
        <w:rPr>
          <w:rFonts w:ascii="Calibri" w:hAnsi="Calibri" w:cs="Calibri"/>
          <w:b/>
          <w:color w:val="000000" w:themeColor="text1"/>
          <w:sz w:val="24"/>
        </w:rPr>
        <w:t xml:space="preserve">District Level: </w:t>
      </w:r>
      <w:r w:rsidRPr="006E0607">
        <w:rPr>
          <w:rFonts w:ascii="Calibri" w:hAnsi="Calibri" w:cs="Calibri"/>
          <w:color w:val="000000" w:themeColor="text1"/>
          <w:sz w:val="24"/>
        </w:rPr>
        <w:t>Superintendent, Special Education Director</w:t>
      </w:r>
    </w:p>
    <w:p w14:paraId="52CADEBD" w14:textId="5FAB67AB" w:rsidR="006868F5" w:rsidRDefault="006868F5" w:rsidP="006868F5">
      <w:pPr>
        <w:spacing w:after="120" w:line="240" w:lineRule="auto"/>
        <w:ind w:firstLine="720"/>
        <w:contextualSpacing/>
        <w:rPr>
          <w:rFonts w:eastAsia="Times New Roman" w:cs="Times New Roman"/>
          <w:color w:val="auto"/>
          <w:szCs w:val="20"/>
        </w:rPr>
      </w:pPr>
      <w:r w:rsidRPr="006E0607">
        <w:rPr>
          <w:rFonts w:ascii="Calibri" w:hAnsi="Calibri" w:cs="Calibri"/>
          <w:b/>
          <w:color w:val="000000" w:themeColor="text1"/>
          <w:sz w:val="24"/>
        </w:rPr>
        <w:t>Campus Level:</w:t>
      </w:r>
      <w:r w:rsidRPr="006E0607">
        <w:rPr>
          <w:rFonts w:ascii="Calibri" w:hAnsi="Calibri" w:cs="Calibri"/>
          <w:color w:val="000000" w:themeColor="text1"/>
          <w:sz w:val="24"/>
        </w:rPr>
        <w:t xml:space="preserve"> </w:t>
      </w:r>
      <w:r>
        <w:rPr>
          <w:rFonts w:eastAsia="Times New Roman" w:cs="Times New Roman"/>
          <w:color w:val="auto"/>
          <w:szCs w:val="20"/>
        </w:rPr>
        <w:t>Assistive Technology Team Member, Teacher</w:t>
      </w:r>
      <w:r w:rsidR="00D07BF4">
        <w:rPr>
          <w:rFonts w:eastAsia="Times New Roman" w:cs="Times New Roman"/>
          <w:color w:val="auto"/>
          <w:szCs w:val="20"/>
        </w:rPr>
        <w:t xml:space="preserve">, Principal </w:t>
      </w:r>
    </w:p>
    <w:p w14:paraId="5F4D0A06" w14:textId="77777777" w:rsidR="006868F5" w:rsidRPr="006E0607" w:rsidRDefault="006868F5" w:rsidP="006868F5">
      <w:pPr>
        <w:spacing w:after="120" w:line="240" w:lineRule="auto"/>
        <w:ind w:firstLine="720"/>
        <w:contextualSpacing/>
        <w:rPr>
          <w:rFonts w:ascii="Calibri" w:hAnsi="Calibri" w:cs="Calibri"/>
          <w:color w:val="000000" w:themeColor="text1"/>
          <w:sz w:val="24"/>
        </w:rPr>
      </w:pPr>
    </w:p>
    <w:p w14:paraId="75E816E6" w14:textId="77777777" w:rsidR="00390BE8" w:rsidRPr="00390BE8" w:rsidRDefault="00390BE8" w:rsidP="00012F0B">
      <w:pPr>
        <w:spacing w:after="0" w:line="240" w:lineRule="auto"/>
        <w:rPr>
          <w:rFonts w:cs="Calibri"/>
          <w:b/>
          <w:color w:val="000000" w:themeColor="text1"/>
        </w:rPr>
      </w:pPr>
      <w:r w:rsidRPr="00390BE8">
        <w:rPr>
          <w:rFonts w:cs="Calibri"/>
          <w:b/>
          <w:color w:val="000000" w:themeColor="text1"/>
        </w:rPr>
        <w:t xml:space="preserve">Evidence of Practice: </w:t>
      </w:r>
    </w:p>
    <w:p w14:paraId="04996792" w14:textId="7D9C9700" w:rsidR="00D07BF4" w:rsidRPr="005A1E12" w:rsidRDefault="00D07BF4" w:rsidP="0069494E">
      <w:pPr>
        <w:pStyle w:val="ListParagraph"/>
        <w:numPr>
          <w:ilvl w:val="0"/>
          <w:numId w:val="16"/>
        </w:numPr>
        <w:spacing w:after="120" w:line="240" w:lineRule="auto"/>
        <w:rPr>
          <w:rFonts w:ascii="Calibri" w:hAnsi="Calibri" w:cs="Calibri"/>
          <w:color w:val="000000"/>
          <w:sz w:val="24"/>
          <w:szCs w:val="24"/>
        </w:rPr>
      </w:pPr>
      <w:r w:rsidRPr="005A1E12">
        <w:rPr>
          <w:rFonts w:ascii="Calibri" w:hAnsi="Calibri" w:cs="Calibri"/>
          <w:color w:val="000000"/>
          <w:sz w:val="24"/>
          <w:szCs w:val="24"/>
        </w:rPr>
        <w:t>ARD paperwork</w:t>
      </w:r>
      <w:r w:rsidR="005A1E12" w:rsidRPr="005A1E12">
        <w:rPr>
          <w:rFonts w:ascii="Calibri" w:hAnsi="Calibri" w:cs="Calibri"/>
          <w:color w:val="000000"/>
          <w:sz w:val="24"/>
          <w:szCs w:val="24"/>
        </w:rPr>
        <w:t>/</w:t>
      </w:r>
      <w:r w:rsidRPr="005A1E12">
        <w:rPr>
          <w:rFonts w:ascii="Calibri" w:hAnsi="Calibri" w:cs="Calibri"/>
          <w:color w:val="000000"/>
          <w:sz w:val="24"/>
          <w:szCs w:val="24"/>
        </w:rPr>
        <w:t xml:space="preserve">Assistive Technology supplement </w:t>
      </w:r>
    </w:p>
    <w:p w14:paraId="5B2C499E" w14:textId="4583354B" w:rsidR="00D07BF4" w:rsidRPr="00430ABA" w:rsidRDefault="00D07BF4" w:rsidP="006868F5">
      <w:pPr>
        <w:pStyle w:val="ListParagraph"/>
        <w:numPr>
          <w:ilvl w:val="0"/>
          <w:numId w:val="16"/>
        </w:numPr>
        <w:spacing w:after="120" w:line="240" w:lineRule="auto"/>
        <w:rPr>
          <w:rFonts w:ascii="Calibri" w:hAnsi="Calibri" w:cs="Calibri"/>
          <w:color w:val="000000"/>
          <w:sz w:val="24"/>
          <w:szCs w:val="24"/>
        </w:rPr>
      </w:pPr>
      <w:r>
        <w:rPr>
          <w:rFonts w:ascii="Calibri" w:hAnsi="Calibri" w:cs="Calibri"/>
          <w:color w:val="000000"/>
          <w:sz w:val="24"/>
          <w:szCs w:val="24"/>
        </w:rPr>
        <w:t>Assistive Technology forms</w:t>
      </w:r>
    </w:p>
    <w:p w14:paraId="3A388E93" w14:textId="77777777" w:rsidR="006868F5" w:rsidRPr="00A659E2" w:rsidRDefault="006868F5" w:rsidP="006868F5">
      <w:pPr>
        <w:spacing w:after="0" w:line="240" w:lineRule="auto"/>
        <w:rPr>
          <w:rFonts w:ascii="Calibri" w:hAnsi="Calibri" w:cs="Calibri"/>
          <w:color w:val="000000"/>
          <w:sz w:val="24"/>
        </w:rPr>
      </w:pPr>
    </w:p>
    <w:sectPr w:rsidR="006868F5" w:rsidRPr="00A659E2" w:rsidSect="00A15E59">
      <w:headerReference w:type="even" r:id="rId15"/>
      <w:headerReference w:type="default" r:id="rId16"/>
      <w:footerReference w:type="even" r:id="rId17"/>
      <w:footerReference w:type="default" r:id="rId18"/>
      <w:headerReference w:type="first" r:id="rId19"/>
      <w:footerReference w:type="first" r:id="rId20"/>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490DD" w14:textId="77777777" w:rsidR="0053136E" w:rsidRDefault="0053136E">
      <w:pPr>
        <w:spacing w:after="0" w:line="240" w:lineRule="auto"/>
      </w:pPr>
      <w:r>
        <w:separator/>
      </w:r>
    </w:p>
  </w:endnote>
  <w:endnote w:type="continuationSeparator" w:id="0">
    <w:p w14:paraId="38A4B399" w14:textId="77777777" w:rsidR="0053136E" w:rsidRDefault="00531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48129" w14:textId="77777777" w:rsidR="00234371" w:rsidRDefault="00234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4239"/>
      <w:gridCol w:w="5121"/>
    </w:tblGrid>
    <w:tr w:rsidR="00A15E59" w:rsidRPr="00CD22C5" w14:paraId="0C8A5D97" w14:textId="77777777" w:rsidTr="00D90E18">
      <w:trPr>
        <w:jc w:val="center"/>
      </w:trPr>
      <w:tc>
        <w:tcPr>
          <w:tcW w:w="4338" w:type="dxa"/>
          <w:vAlign w:val="center"/>
        </w:tcPr>
        <w:p w14:paraId="4345382D" w14:textId="637DB04B"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A67867">
            <w:rPr>
              <w:b w:val="0"/>
              <w:sz w:val="16"/>
              <w:szCs w:val="16"/>
            </w:rPr>
            <w:t>Procedures</w:t>
          </w:r>
        </w:p>
      </w:tc>
      <w:tc>
        <w:tcPr>
          <w:tcW w:w="5238" w:type="dxa"/>
          <w:vAlign w:val="center"/>
        </w:tcPr>
        <w:p w14:paraId="5188EA1E" w14:textId="77777777" w:rsidR="00A15E59" w:rsidRPr="009A1B8F" w:rsidRDefault="009F2B04" w:rsidP="009A5ACF">
          <w:pPr>
            <w:pStyle w:val="Footer"/>
            <w:tabs>
              <w:tab w:val="left" w:pos="1260"/>
            </w:tabs>
            <w:jc w:val="right"/>
            <w:rPr>
              <w:sz w:val="16"/>
              <w:szCs w:val="16"/>
            </w:rPr>
          </w:pPr>
          <w:r>
            <w:rPr>
              <w:sz w:val="16"/>
              <w:szCs w:val="16"/>
            </w:rPr>
            <w:t>ADMINISTRATION OF EQUIPMENT</w:t>
          </w:r>
        </w:p>
      </w:tc>
    </w:tr>
    <w:tr w:rsidR="00A15E59" w:rsidRPr="00CD22C5" w14:paraId="4EDF90FF" w14:textId="77777777" w:rsidTr="00D90E18">
      <w:trPr>
        <w:jc w:val="center"/>
      </w:trPr>
      <w:tc>
        <w:tcPr>
          <w:tcW w:w="4338" w:type="dxa"/>
          <w:vAlign w:val="center"/>
        </w:tcPr>
        <w:p w14:paraId="3335116B" w14:textId="4BBEBA0E"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234371">
            <w:rPr>
              <w:b w:val="0"/>
              <w:sz w:val="16"/>
              <w:szCs w:val="16"/>
            </w:rPr>
            <w:t>10/2025</w:t>
          </w:r>
          <w:bookmarkStart w:id="0" w:name="_GoBack"/>
          <w:bookmarkEnd w:id="0"/>
        </w:p>
      </w:tc>
      <w:tc>
        <w:tcPr>
          <w:tcW w:w="5238" w:type="dxa"/>
          <w:vAlign w:val="center"/>
        </w:tcPr>
        <w:p w14:paraId="15EA0C1E" w14:textId="77777777"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5146A5">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5146A5">
            <w:rPr>
              <w:b w:val="0"/>
              <w:noProof/>
              <w:sz w:val="16"/>
              <w:szCs w:val="16"/>
            </w:rPr>
            <w:t>2</w:t>
          </w:r>
          <w:r w:rsidRPr="00CD22C5">
            <w:rPr>
              <w:b w:val="0"/>
              <w:sz w:val="16"/>
              <w:szCs w:val="16"/>
            </w:rPr>
            <w:fldChar w:fldCharType="end"/>
          </w:r>
        </w:p>
      </w:tc>
    </w:tr>
  </w:tbl>
  <w:p w14:paraId="71CA6605" w14:textId="77777777"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14:paraId="1A1F497A" w14:textId="77777777" w:rsidTr="00CD22C5">
      <w:tc>
        <w:tcPr>
          <w:tcW w:w="4338" w:type="dxa"/>
          <w:vAlign w:val="center"/>
        </w:tcPr>
        <w:p w14:paraId="5454FA92" w14:textId="77777777"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14:paraId="5B1D9D10" w14:textId="77777777"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14:paraId="23789118" w14:textId="77777777" w:rsidTr="00CD22C5">
      <w:tc>
        <w:tcPr>
          <w:tcW w:w="4338" w:type="dxa"/>
          <w:vAlign w:val="center"/>
        </w:tcPr>
        <w:p w14:paraId="3D529EEB" w14:textId="77777777"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14:paraId="25A76FCB" w14:textId="77777777"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B46845">
            <w:rPr>
              <w:b w:val="0"/>
              <w:noProof/>
              <w:sz w:val="16"/>
              <w:szCs w:val="16"/>
            </w:rPr>
            <w:t>1</w:t>
          </w:r>
          <w:r w:rsidRPr="00CD22C5">
            <w:rPr>
              <w:b w:val="0"/>
              <w:sz w:val="16"/>
              <w:szCs w:val="16"/>
            </w:rPr>
            <w:fldChar w:fldCharType="end"/>
          </w:r>
        </w:p>
      </w:tc>
    </w:tr>
  </w:tbl>
  <w:p w14:paraId="63631118" w14:textId="77777777"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EC7A5" w14:textId="77777777" w:rsidR="0053136E" w:rsidRDefault="0053136E">
      <w:pPr>
        <w:spacing w:after="0" w:line="240" w:lineRule="auto"/>
      </w:pPr>
      <w:r>
        <w:separator/>
      </w:r>
    </w:p>
  </w:footnote>
  <w:footnote w:type="continuationSeparator" w:id="0">
    <w:p w14:paraId="364FF1D3" w14:textId="77777777" w:rsidR="0053136E" w:rsidRDefault="00531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C8A11" w14:textId="77777777" w:rsidR="00234371" w:rsidRDefault="002343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14:paraId="29073A54" w14:textId="77777777"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34CFF56E" w14:textId="77777777" w:rsidR="00A15E59" w:rsidRPr="00A15E59" w:rsidRDefault="00A15E59" w:rsidP="00A15E59">
          <w:pPr>
            <w:pStyle w:val="Header"/>
            <w:spacing w:before="0"/>
            <w:jc w:val="center"/>
            <w:rPr>
              <w:color w:val="0F3966" w:themeColor="accent1"/>
              <w:sz w:val="24"/>
            </w:rPr>
          </w:pPr>
          <w:r w:rsidRPr="00A15E59">
            <w:rPr>
              <w:sz w:val="24"/>
            </w:rPr>
            <w:t xml:space="preserve">OPERATING </w:t>
          </w:r>
          <w:r w:rsidR="00A67867">
            <w:rPr>
              <w:sz w:val="24"/>
            </w:rPr>
            <w:t>PROCEDURES</w:t>
          </w:r>
        </w:p>
      </w:tc>
    </w:tr>
    <w:tr w:rsidR="00A15E59" w:rsidRPr="00A15E59" w14:paraId="0B1ADE62" w14:textId="77777777"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1555794B" w14:textId="77777777" w:rsidR="00727C62" w:rsidRPr="00A15E59" w:rsidRDefault="009F2B04" w:rsidP="00A15E59">
          <w:pPr>
            <w:pStyle w:val="Header"/>
            <w:spacing w:before="0"/>
            <w:jc w:val="center"/>
            <w:rPr>
              <w:sz w:val="24"/>
            </w:rPr>
          </w:pPr>
          <w:r>
            <w:rPr>
              <w:sz w:val="24"/>
            </w:rPr>
            <w:t>ADMINISTRATION OF EQUIPMENT</w:t>
          </w:r>
        </w:p>
      </w:tc>
    </w:tr>
    <w:tr w:rsidR="00A15E59" w:rsidRPr="00A15E59" w14:paraId="51708C57" w14:textId="77777777"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20D2088E" w14:textId="0544C8A4" w:rsidR="00190544" w:rsidRPr="00A15E59" w:rsidRDefault="00190544" w:rsidP="0017202D">
          <w:pPr>
            <w:pStyle w:val="Header"/>
            <w:spacing w:before="0"/>
            <w:jc w:val="left"/>
          </w:pPr>
          <w:r>
            <w:rPr>
              <w:color w:val="auto"/>
            </w:rPr>
            <w:t>Robertson County Special Services</w:t>
          </w:r>
        </w:p>
      </w:tc>
      <w:tc>
        <w:tcPr>
          <w:tcW w:w="1710" w:type="dxa"/>
          <w:vAlign w:val="center"/>
        </w:tcPr>
        <w:p w14:paraId="349EF6D8" w14:textId="1E88AB67"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14:paraId="65C4D792" w14:textId="77777777"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C7B92" w14:textId="77777777" w:rsidR="00234371" w:rsidRDefault="002343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F0F5CD3"/>
    <w:multiLevelType w:val="hybridMultilevel"/>
    <w:tmpl w:val="BDBC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AC1D57"/>
    <w:multiLevelType w:val="multilevel"/>
    <w:tmpl w:val="164CC3C4"/>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34B94F82"/>
    <w:multiLevelType w:val="hybridMultilevel"/>
    <w:tmpl w:val="344A8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6684AAA"/>
    <w:multiLevelType w:val="hybridMultilevel"/>
    <w:tmpl w:val="2E6E7C1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BD7BDE"/>
    <w:multiLevelType w:val="hybridMultilevel"/>
    <w:tmpl w:val="B10C98D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9"/>
  </w:num>
  <w:num w:numId="14">
    <w:abstractNumId w:val="13"/>
  </w:num>
  <w:num w:numId="15">
    <w:abstractNumId w:val="14"/>
  </w:num>
  <w:num w:numId="16">
    <w:abstractNumId w:val="12"/>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12F0B"/>
    <w:rsid w:val="00026EFA"/>
    <w:rsid w:val="00027F91"/>
    <w:rsid w:val="00057CC1"/>
    <w:rsid w:val="000C084D"/>
    <w:rsid w:val="000C551A"/>
    <w:rsid w:val="0010401E"/>
    <w:rsid w:val="00132BCE"/>
    <w:rsid w:val="00140EB8"/>
    <w:rsid w:val="001453FC"/>
    <w:rsid w:val="0017202D"/>
    <w:rsid w:val="00190544"/>
    <w:rsid w:val="001F0694"/>
    <w:rsid w:val="002045E8"/>
    <w:rsid w:val="00234371"/>
    <w:rsid w:val="0024553E"/>
    <w:rsid w:val="00251E62"/>
    <w:rsid w:val="00257F68"/>
    <w:rsid w:val="00271990"/>
    <w:rsid w:val="00287E6A"/>
    <w:rsid w:val="002C5161"/>
    <w:rsid w:val="00303906"/>
    <w:rsid w:val="00356FCF"/>
    <w:rsid w:val="00390BE8"/>
    <w:rsid w:val="003920EE"/>
    <w:rsid w:val="003C055F"/>
    <w:rsid w:val="0040108C"/>
    <w:rsid w:val="00426C23"/>
    <w:rsid w:val="0045350E"/>
    <w:rsid w:val="00462709"/>
    <w:rsid w:val="004B0A7B"/>
    <w:rsid w:val="004D2273"/>
    <w:rsid w:val="004E2A26"/>
    <w:rsid w:val="004E65DE"/>
    <w:rsid w:val="004F452C"/>
    <w:rsid w:val="005146A5"/>
    <w:rsid w:val="0053136E"/>
    <w:rsid w:val="00541B1D"/>
    <w:rsid w:val="00564A53"/>
    <w:rsid w:val="00590830"/>
    <w:rsid w:val="005A1E12"/>
    <w:rsid w:val="00630F6C"/>
    <w:rsid w:val="006462D4"/>
    <w:rsid w:val="006644AE"/>
    <w:rsid w:val="006868F5"/>
    <w:rsid w:val="00694328"/>
    <w:rsid w:val="006D2E40"/>
    <w:rsid w:val="006E2164"/>
    <w:rsid w:val="006E3F0A"/>
    <w:rsid w:val="007175E6"/>
    <w:rsid w:val="00727C62"/>
    <w:rsid w:val="00734006"/>
    <w:rsid w:val="0074365B"/>
    <w:rsid w:val="007F17BC"/>
    <w:rsid w:val="007F4B49"/>
    <w:rsid w:val="00840089"/>
    <w:rsid w:val="00842391"/>
    <w:rsid w:val="00850B01"/>
    <w:rsid w:val="00884D94"/>
    <w:rsid w:val="008E1425"/>
    <w:rsid w:val="008E5A9B"/>
    <w:rsid w:val="009264BA"/>
    <w:rsid w:val="009415A3"/>
    <w:rsid w:val="00962988"/>
    <w:rsid w:val="00976E6E"/>
    <w:rsid w:val="009A0A68"/>
    <w:rsid w:val="009A6640"/>
    <w:rsid w:val="009C236C"/>
    <w:rsid w:val="009F2B04"/>
    <w:rsid w:val="00A118CD"/>
    <w:rsid w:val="00A15E59"/>
    <w:rsid w:val="00A24F6D"/>
    <w:rsid w:val="00A2651C"/>
    <w:rsid w:val="00A32F2B"/>
    <w:rsid w:val="00A67867"/>
    <w:rsid w:val="00AA0CCA"/>
    <w:rsid w:val="00AD0068"/>
    <w:rsid w:val="00AF6788"/>
    <w:rsid w:val="00B00A4C"/>
    <w:rsid w:val="00B46845"/>
    <w:rsid w:val="00B46C4A"/>
    <w:rsid w:val="00B63D83"/>
    <w:rsid w:val="00B74999"/>
    <w:rsid w:val="00B96EED"/>
    <w:rsid w:val="00BB2A36"/>
    <w:rsid w:val="00BF06FA"/>
    <w:rsid w:val="00C2558A"/>
    <w:rsid w:val="00C27473"/>
    <w:rsid w:val="00CD22C5"/>
    <w:rsid w:val="00CE5EEE"/>
    <w:rsid w:val="00D03BC4"/>
    <w:rsid w:val="00D07BF4"/>
    <w:rsid w:val="00D3211D"/>
    <w:rsid w:val="00D45E93"/>
    <w:rsid w:val="00D50B9B"/>
    <w:rsid w:val="00D54A17"/>
    <w:rsid w:val="00D56BF1"/>
    <w:rsid w:val="00D90E18"/>
    <w:rsid w:val="00D97DEA"/>
    <w:rsid w:val="00DB231F"/>
    <w:rsid w:val="00E00450"/>
    <w:rsid w:val="00E009AB"/>
    <w:rsid w:val="00E164D4"/>
    <w:rsid w:val="00E21132"/>
    <w:rsid w:val="00E260AF"/>
    <w:rsid w:val="00EC24F4"/>
    <w:rsid w:val="00ED5C01"/>
    <w:rsid w:val="00EE1684"/>
    <w:rsid w:val="00EF2526"/>
    <w:rsid w:val="00F04CEA"/>
    <w:rsid w:val="00F57D5F"/>
    <w:rsid w:val="00F90F60"/>
    <w:rsid w:val="00FA1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13D3A"/>
  <w15:docId w15:val="{B71D291C-97DC-4059-9C2A-0F9486C2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51A"/>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semiHidden/>
    <w:unhideWhenUsed/>
    <w:qFormat/>
    <w:rsid w:val="006868F5"/>
    <w:pPr>
      <w:keepNext/>
      <w:keepLines/>
      <w:spacing w:before="40" w:after="0"/>
      <w:outlineLvl w:val="2"/>
    </w:pPr>
    <w:rPr>
      <w:rFonts w:asciiTheme="majorHAnsi" w:eastAsiaTheme="majorEastAsia" w:hAnsiTheme="majorHAnsi" w:cstheme="majorBidi"/>
      <w:color w:val="071C32"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rsid w:val="00001656"/>
    <w:rPr>
      <w:color w:val="0F97A5" w:themeColor="hyperlink"/>
      <w:u w:val="single"/>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ListParagraph">
    <w:name w:val="List Paragraph"/>
    <w:aliases w:val="Numbered List Paragraph"/>
    <w:basedOn w:val="Normal"/>
    <w:link w:val="ListParagraphChar"/>
    <w:uiPriority w:val="34"/>
    <w:qFormat/>
    <w:rsid w:val="006868F5"/>
    <w:pPr>
      <w:ind w:left="720"/>
      <w:contextualSpacing/>
    </w:pPr>
    <w:rPr>
      <w:rFonts w:eastAsia="Verdana" w:cs="Verdana"/>
      <w:color w:val="0F3966"/>
      <w:szCs w:val="20"/>
    </w:rPr>
  </w:style>
  <w:style w:type="character" w:customStyle="1" w:styleId="Heading3Char">
    <w:name w:val="Heading 3 Char"/>
    <w:basedOn w:val="DefaultParagraphFont"/>
    <w:link w:val="Heading3"/>
    <w:uiPriority w:val="9"/>
    <w:semiHidden/>
    <w:rsid w:val="006868F5"/>
    <w:rPr>
      <w:rFonts w:asciiTheme="majorHAnsi" w:eastAsiaTheme="majorEastAsia" w:hAnsiTheme="majorHAnsi" w:cstheme="majorBidi"/>
      <w:color w:val="071C32" w:themeColor="accent1" w:themeShade="7F"/>
    </w:rPr>
  </w:style>
  <w:style w:type="character" w:customStyle="1" w:styleId="ListParagraphChar">
    <w:name w:val="List Paragraph Char"/>
    <w:aliases w:val="Numbered List Paragraph Char"/>
    <w:link w:val="ListParagraph"/>
    <w:uiPriority w:val="34"/>
    <w:locked/>
    <w:rsid w:val="00D07BF4"/>
    <w:rPr>
      <w:rFonts w:ascii="Verdana" w:eastAsia="Verdana" w:hAnsi="Verdana" w:cs="Verdana"/>
      <w:color w:val="0F396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536032">
      <w:bodyDiv w:val="1"/>
      <w:marLeft w:val="0"/>
      <w:marRight w:val="0"/>
      <w:marTop w:val="0"/>
      <w:marBottom w:val="0"/>
      <w:divBdr>
        <w:top w:val="none" w:sz="0" w:space="0" w:color="auto"/>
        <w:left w:val="none" w:sz="0" w:space="0" w:color="auto"/>
        <w:bottom w:val="none" w:sz="0" w:space="0" w:color="auto"/>
        <w:right w:val="none" w:sz="0" w:space="0" w:color="auto"/>
      </w:divBdr>
    </w:div>
    <w:div w:id="985743316">
      <w:bodyDiv w:val="1"/>
      <w:marLeft w:val="0"/>
      <w:marRight w:val="0"/>
      <w:marTop w:val="0"/>
      <w:marBottom w:val="0"/>
      <w:divBdr>
        <w:top w:val="none" w:sz="0" w:space="0" w:color="auto"/>
        <w:left w:val="none" w:sz="0" w:space="0" w:color="auto"/>
        <w:bottom w:val="none" w:sz="0" w:space="0" w:color="auto"/>
        <w:right w:val="none" w:sz="0" w:space="0" w:color="auto"/>
      </w:divBdr>
    </w:div>
    <w:div w:id="1015155749">
      <w:bodyDiv w:val="1"/>
      <w:marLeft w:val="0"/>
      <w:marRight w:val="0"/>
      <w:marTop w:val="0"/>
      <w:marBottom w:val="0"/>
      <w:divBdr>
        <w:top w:val="none" w:sz="0" w:space="0" w:color="auto"/>
        <w:left w:val="none" w:sz="0" w:space="0" w:color="auto"/>
        <w:bottom w:val="none" w:sz="0" w:space="0" w:color="auto"/>
        <w:right w:val="none" w:sz="0" w:space="0" w:color="auto"/>
      </w:divBdr>
    </w:div>
    <w:div w:id="1626618242">
      <w:bodyDiv w:val="1"/>
      <w:marLeft w:val="0"/>
      <w:marRight w:val="0"/>
      <w:marTop w:val="0"/>
      <w:marBottom w:val="0"/>
      <w:divBdr>
        <w:top w:val="none" w:sz="0" w:space="0" w:color="auto"/>
        <w:left w:val="none" w:sz="0" w:space="0" w:color="auto"/>
        <w:bottom w:val="none" w:sz="0" w:space="0" w:color="auto"/>
        <w:right w:val="none" w:sz="0" w:space="0" w:color="auto"/>
      </w:divBdr>
    </w:div>
    <w:div w:id="173927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151&amp;DT=G&amp;LID=en" TargetMode="External"/><Relationship Id="rId13" Type="http://schemas.openxmlformats.org/officeDocument/2006/relationships/hyperlink" Target="http://fw.esc18.net/FrameworkAuthoringSystem/Documents/AdditionalResources/OSEP%20Letter%20to%20Goodman%206.21.1998.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dea.ed.gov/uploads/Private_School_Q_A_April_2011_1.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w.esc18.net/FrameworkAuthoringSystem/Documents/AdditionalResources/OSEP%20Letter%20to%20Anonymous%2011.27.1991.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2.ed.gov/policy/speced/guid/idea/letters/2005-2/picard040505funds2q2005.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2.ed.gov/policy/speced/guid/idea/letters/2006-2/picard062206funding2q2006.pdf" TargetMode="External"/><Relationship Id="rId14" Type="http://schemas.openxmlformats.org/officeDocument/2006/relationships/hyperlink" Target="https://framework.esc18.net/display/Webforms/LandingPage.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04B53E8-213A-48E4-B9C8-AD07519F5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41</cp:revision>
  <cp:lastPrinted>2016-02-29T22:47:00Z</cp:lastPrinted>
  <dcterms:created xsi:type="dcterms:W3CDTF">2021-11-01T16:27:00Z</dcterms:created>
  <dcterms:modified xsi:type="dcterms:W3CDTF">2025-10-27T14:49:00Z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