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2373" w14:textId="77777777" w:rsidR="002045E8" w:rsidRDefault="002045E8" w:rsidP="002045E8">
      <w:pPr>
        <w:spacing w:after="0" w:line="240" w:lineRule="auto"/>
        <w:rPr>
          <w:szCs w:val="20"/>
        </w:rPr>
      </w:pPr>
    </w:p>
    <w:p w14:paraId="3066FA2D"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6E3F0A">
          <w:rPr>
            <w:rStyle w:val="Hyperlink"/>
            <w:color w:val="0000FF"/>
            <w:szCs w:val="20"/>
          </w:rPr>
          <w:t>Administration of Program Information</w:t>
        </w:r>
      </w:hyperlink>
      <w:r w:rsidRPr="008E1425">
        <w:rPr>
          <w:color w:val="000000" w:themeColor="text1"/>
          <w:szCs w:val="20"/>
        </w:rPr>
        <w:t xml:space="preserve"> </w:t>
      </w:r>
    </w:p>
    <w:p w14:paraId="79984C83"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  Administration</w:t>
      </w:r>
      <w:r w:rsidR="009415A3" w:rsidRPr="008E1425">
        <w:rPr>
          <w:color w:val="000000" w:themeColor="text1"/>
          <w:szCs w:val="20"/>
        </w:rPr>
        <w:t xml:space="preserve"> </w:t>
      </w:r>
      <w:r w:rsidR="009415A3">
        <w:rPr>
          <w:color w:val="000099"/>
          <w:szCs w:val="20"/>
        </w:rPr>
        <w:tab/>
      </w:r>
      <w:r w:rsidR="009415A3" w:rsidRPr="009415A3">
        <w:rPr>
          <w:color w:val="000000" w:themeColor="text1"/>
          <w:sz w:val="12"/>
          <w:szCs w:val="12"/>
        </w:rPr>
        <w:t xml:space="preserve">Template </w:t>
      </w:r>
      <w:r w:rsidR="00A71518">
        <w:rPr>
          <w:color w:val="000000" w:themeColor="text1"/>
          <w:sz w:val="12"/>
          <w:szCs w:val="12"/>
        </w:rPr>
        <w:t xml:space="preserve">update </w:t>
      </w:r>
      <w:r w:rsidR="008079B8">
        <w:rPr>
          <w:color w:val="000000" w:themeColor="text1"/>
          <w:sz w:val="12"/>
          <w:szCs w:val="12"/>
        </w:rPr>
        <w:t>Feb 2018</w:t>
      </w:r>
    </w:p>
    <w:p w14:paraId="62BC3852" w14:textId="77777777" w:rsidR="000C551A" w:rsidRPr="009415A3" w:rsidRDefault="000C551A" w:rsidP="000C551A">
      <w:pPr>
        <w:spacing w:after="0" w:line="240" w:lineRule="auto"/>
        <w:rPr>
          <w:color w:val="000000" w:themeColor="text1"/>
        </w:rPr>
      </w:pPr>
    </w:p>
    <w:p w14:paraId="69C99002" w14:textId="77777777" w:rsidR="004E2A26" w:rsidRPr="004E2A26" w:rsidRDefault="004E2A26" w:rsidP="006E3F0A">
      <w:pPr>
        <w:tabs>
          <w:tab w:val="left" w:pos="720"/>
        </w:tabs>
        <w:spacing w:after="0" w:line="240" w:lineRule="auto"/>
        <w:jc w:val="both"/>
        <w:rPr>
          <w:rFonts w:eastAsia="Times New Roman" w:cs="Times New Roman"/>
          <w:color w:val="auto"/>
          <w:szCs w:val="20"/>
        </w:rPr>
      </w:pPr>
      <w:r w:rsidRPr="004E2A26">
        <w:rPr>
          <w:rFonts w:eastAsia="Times New Roman" w:cs="Times New Roman"/>
          <w:color w:val="auto"/>
          <w:szCs w:val="20"/>
        </w:rPr>
        <w:t>“</w:t>
      </w:r>
      <w:r w:rsidR="007D30D3">
        <w:rPr>
          <w:rFonts w:eastAsia="Times New Roman" w:cs="Times New Roman"/>
          <w:color w:val="auto"/>
          <w:szCs w:val="20"/>
        </w:rPr>
        <w:t xml:space="preserve">[Office of Special Education Programs] </w:t>
      </w:r>
      <w:r w:rsidRPr="004E2A26">
        <w:rPr>
          <w:rFonts w:eastAsia="Times New Roman" w:cs="Times New Roman"/>
          <w:color w:val="auto"/>
          <w:szCs w:val="20"/>
        </w:rPr>
        <w:t xml:space="preserve">OSEP's current accountability system is multifaceted and aligned with the requirements of the Act. As set forth in </w:t>
      </w:r>
      <w:r w:rsidR="00A71518">
        <w:rPr>
          <w:rFonts w:eastAsia="Times New Roman" w:cs="Times New Roman"/>
          <w:color w:val="auto"/>
          <w:szCs w:val="20"/>
        </w:rPr>
        <w:t xml:space="preserve">[Individuals with Disabilities Education Act] </w:t>
      </w:r>
      <w:r w:rsidRPr="004E2A26">
        <w:rPr>
          <w:rFonts w:eastAsia="Times New Roman" w:cs="Times New Roman"/>
          <w:color w:val="auto"/>
          <w:szCs w:val="20"/>
        </w:rPr>
        <w:t xml:space="preserve">IDEA section 616(a)(2), the primary focus of Federal and State monitoring is on: (a) improving educational results and functional outcomes for all children with disabilities; and (b) ensuring that States meet the program requirements under Part B, with a particular emphasis on those requirements that are most closely related to improving educational results for children with disabilities. Section 616(a)(3) of the Act requires the Secretary to monitor the States, and the States to monitor </w:t>
      </w:r>
      <w:r w:rsidR="00A71518">
        <w:rPr>
          <w:rFonts w:eastAsia="Times New Roman" w:cs="Times New Roman"/>
          <w:color w:val="auto"/>
          <w:szCs w:val="20"/>
        </w:rPr>
        <w:t xml:space="preserve">[local educational agencies] </w:t>
      </w:r>
      <w:r w:rsidRPr="004E2A26">
        <w:rPr>
          <w:rFonts w:eastAsia="Times New Roman" w:cs="Times New Roman"/>
          <w:color w:val="auto"/>
          <w:szCs w:val="20"/>
        </w:rPr>
        <w:t xml:space="preserve">LEAs, using quantifiable indicators in each of the following priority areas, and using such qualitative indicators as are needed to adequately measure performance in the following priority areas: (a) the provision of a free appropriate education (FAPE) in the least restrictive environment (LRE); (b) State exercise of general supervisory authority, including child find, effective monitoring, the use of resolution sessions, mediations, voluntary binding arbitration, and a system of transition services as defined in sections 602(34) and 637(a)(9) of the Act; and (c) disproportionate representation of racial and ethnic groups in special education and related services, to the extent the representation is the result of inappropriate identification.”  </w:t>
      </w:r>
      <w:hyperlink r:id="rId9" w:history="1">
        <w:r w:rsidRPr="00B14931">
          <w:rPr>
            <w:rFonts w:eastAsia="Times New Roman" w:cs="Times New Roman"/>
            <w:i/>
            <w:color w:val="0000FF"/>
            <w:szCs w:val="20"/>
            <w:u w:val="single"/>
          </w:rPr>
          <w:t>OSEP Letter to Woolsey</w:t>
        </w:r>
        <w:r w:rsidRPr="004E2A26">
          <w:rPr>
            <w:rFonts w:eastAsia="Times New Roman" w:cs="Times New Roman"/>
            <w:color w:val="0000FF"/>
            <w:szCs w:val="20"/>
            <w:u w:val="single"/>
          </w:rPr>
          <w:t xml:space="preserve"> (June 26, 2012)</w:t>
        </w:r>
      </w:hyperlink>
      <w:r w:rsidRPr="00B14931">
        <w:rPr>
          <w:rFonts w:eastAsia="Times New Roman" w:cs="Times New Roman"/>
          <w:color w:val="000000" w:themeColor="text1"/>
          <w:szCs w:val="20"/>
        </w:rPr>
        <w:t xml:space="preserve">. </w:t>
      </w:r>
    </w:p>
    <w:p w14:paraId="74A67DFB" w14:textId="77777777" w:rsidR="004E2A26" w:rsidRPr="004E2A26" w:rsidRDefault="004E2A26" w:rsidP="006E3F0A">
      <w:pPr>
        <w:tabs>
          <w:tab w:val="left" w:pos="720"/>
        </w:tabs>
        <w:spacing w:after="0" w:line="240" w:lineRule="auto"/>
        <w:jc w:val="both"/>
        <w:rPr>
          <w:rFonts w:eastAsia="Times New Roman" w:cs="Times New Roman"/>
          <w:color w:val="auto"/>
          <w:szCs w:val="20"/>
        </w:rPr>
      </w:pPr>
    </w:p>
    <w:p w14:paraId="323BFD8C" w14:textId="77777777" w:rsidR="004E2A26" w:rsidRPr="004E2A26" w:rsidRDefault="004E2A26" w:rsidP="006E3F0A">
      <w:pPr>
        <w:tabs>
          <w:tab w:val="left" w:pos="720"/>
        </w:tabs>
        <w:spacing w:after="0" w:line="240" w:lineRule="auto"/>
        <w:jc w:val="both"/>
        <w:rPr>
          <w:rFonts w:eastAsia="Times New Roman" w:cs="Times New Roman"/>
          <w:color w:val="auto"/>
          <w:szCs w:val="20"/>
        </w:rPr>
      </w:pPr>
      <w:r w:rsidRPr="004E2A26">
        <w:rPr>
          <w:rFonts w:eastAsia="Times New Roman" w:cs="Times New Roman"/>
          <w:color w:val="auto"/>
          <w:szCs w:val="20"/>
        </w:rPr>
        <w:t xml:space="preserve">“States have a separate obligation, under 20 U.S.C. 1418(d) and 34 CFR § 300.646, to collect and examine data to determine whether significant disproportionality based on race or ethnicity is occurring in the State and LEAs of the State with respect to the identification of children as children with disabilities, including identification as children with particular impairments; the placement of children in particular educational settings; and the incidence, duration, and type of disciplinary actions, including suspensions and expulsions. States must make this determination on an annual basis. When the State educational agency (SEA) identifies LEAs with significant disproportionality in one or more of these areas based on the collection and examination of their data, States must: 1) provide for the review (and, if appropriate) revision of policies, procedures, and practices; 2) require the LEA to reserve the maximum amount offends to be used for early intervening services; and 3) require the LEA to publicly report on the revision of policies, procedures, and practices.” </w:t>
      </w:r>
      <w:hyperlink r:id="rId10" w:history="1">
        <w:r w:rsidRPr="00B14931">
          <w:rPr>
            <w:rFonts w:eastAsia="Times New Roman" w:cs="Times New Roman"/>
            <w:i/>
            <w:color w:val="0000FF"/>
            <w:szCs w:val="20"/>
            <w:u w:val="single"/>
          </w:rPr>
          <w:t>OSEP 07-09 Memorandum to State Directors of Special Education</w:t>
        </w:r>
        <w:r w:rsidRPr="004E2A26">
          <w:rPr>
            <w:rFonts w:eastAsia="Times New Roman" w:cs="Times New Roman"/>
            <w:color w:val="0000FF"/>
            <w:szCs w:val="20"/>
            <w:u w:val="single"/>
          </w:rPr>
          <w:t xml:space="preserve"> (April 24, 2007)</w:t>
        </w:r>
      </w:hyperlink>
      <w:r w:rsidRPr="00B14931">
        <w:rPr>
          <w:rFonts w:eastAsia="Times New Roman" w:cs="Times New Roman"/>
          <w:color w:val="000000" w:themeColor="text1"/>
          <w:szCs w:val="20"/>
        </w:rPr>
        <w:t>.</w:t>
      </w:r>
    </w:p>
    <w:p w14:paraId="427AA4F9" w14:textId="77777777" w:rsidR="004E2A26" w:rsidRPr="004E2A26" w:rsidRDefault="004E2A26" w:rsidP="006E3F0A">
      <w:pPr>
        <w:tabs>
          <w:tab w:val="left" w:pos="720"/>
        </w:tabs>
        <w:spacing w:after="0" w:line="240" w:lineRule="auto"/>
        <w:jc w:val="both"/>
        <w:rPr>
          <w:rFonts w:eastAsia="Times New Roman" w:cs="Times New Roman"/>
          <w:color w:val="auto"/>
          <w:szCs w:val="20"/>
        </w:rPr>
      </w:pPr>
    </w:p>
    <w:p w14:paraId="7617B860" w14:textId="77777777" w:rsidR="004E2A26" w:rsidRPr="004E2A26" w:rsidRDefault="004E2A26" w:rsidP="006E3F0A">
      <w:pPr>
        <w:tabs>
          <w:tab w:val="left" w:pos="720"/>
        </w:tabs>
        <w:spacing w:after="0" w:line="240" w:lineRule="auto"/>
        <w:jc w:val="both"/>
        <w:rPr>
          <w:rFonts w:eastAsia="Times New Roman" w:cs="Times New Roman"/>
          <w:color w:val="auto"/>
          <w:szCs w:val="20"/>
        </w:rPr>
      </w:pPr>
      <w:r w:rsidRPr="004E2A26">
        <w:rPr>
          <w:rFonts w:eastAsia="Times New Roman" w:cs="Times New Roman"/>
          <w:color w:val="auto"/>
          <w:szCs w:val="20"/>
        </w:rPr>
        <w:t>“With respect to the definition of significant disproportionality, each State has the discretion to define the term for the LEAs and for the State in general. Therefore, in identifying significant disproportionality, a State may determine statistically significant levels. The State’s review of its constituent LEAs’ policies, practices, and procedures for identifying and placing children with disabilities would occur in LEAs with significant disproportionality in identification, placement, or discipline, based on the examination of the data. The purpose of this review is to determine if the policies, practices, and procedures are consistent with the Act.”  71 Fed. Reg. 46738 (2006)</w:t>
      </w:r>
      <w:r w:rsidR="00B14931">
        <w:rPr>
          <w:rFonts w:eastAsia="Times New Roman" w:cs="Times New Roman"/>
          <w:color w:val="auto"/>
          <w:szCs w:val="20"/>
        </w:rPr>
        <w:t>.</w:t>
      </w:r>
    </w:p>
    <w:p w14:paraId="07092580" w14:textId="77777777" w:rsidR="004E2A26" w:rsidRPr="004E2A26" w:rsidRDefault="004E2A26" w:rsidP="006E3F0A">
      <w:pPr>
        <w:spacing w:after="0" w:line="240" w:lineRule="auto"/>
        <w:jc w:val="both"/>
        <w:rPr>
          <w:rFonts w:eastAsia="Times New Roman" w:cs="Times New Roman"/>
          <w:color w:val="auto"/>
          <w:szCs w:val="20"/>
        </w:rPr>
      </w:pPr>
    </w:p>
    <w:p w14:paraId="04F06543" w14:textId="77777777" w:rsid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“The purpose of the child count under § 300.132(c) is to determine the amount of Federal funds that the LEA must spend on providing special education and related services to parentally-placed private school children with disabilities in the next fiscal year.” 71 Fed. Reg</w:t>
      </w:r>
      <w:r w:rsidR="00A71518">
        <w:rPr>
          <w:rFonts w:eastAsia="Times New Roman" w:cs="Times New Roman"/>
          <w:color w:val="auto"/>
          <w:szCs w:val="20"/>
        </w:rPr>
        <w:t>.</w:t>
      </w:r>
      <w:r w:rsidRPr="004E2A26">
        <w:rPr>
          <w:rFonts w:eastAsia="Times New Roman" w:cs="Times New Roman"/>
          <w:color w:val="auto"/>
          <w:szCs w:val="20"/>
        </w:rPr>
        <w:t xml:space="preserve"> 46594 (2006)</w:t>
      </w:r>
      <w:r w:rsidR="00B14931">
        <w:rPr>
          <w:rFonts w:eastAsia="Times New Roman" w:cs="Times New Roman"/>
          <w:color w:val="auto"/>
          <w:szCs w:val="20"/>
        </w:rPr>
        <w:t>.</w:t>
      </w:r>
    </w:p>
    <w:p w14:paraId="156972F1" w14:textId="77777777" w:rsidR="008C1417" w:rsidRDefault="008C1417" w:rsidP="006E3F0A">
      <w:pPr>
        <w:spacing w:after="0" w:line="240" w:lineRule="auto"/>
        <w:jc w:val="both"/>
        <w:rPr>
          <w:rFonts w:eastAsia="Times New Roman" w:cs="Times New Roman"/>
          <w:color w:val="auto"/>
          <w:szCs w:val="20"/>
        </w:rPr>
      </w:pPr>
    </w:p>
    <w:p w14:paraId="096B327D" w14:textId="77777777" w:rsidR="008C1417" w:rsidRDefault="008C1417" w:rsidP="006E3F0A">
      <w:pPr>
        <w:spacing w:after="0" w:line="240" w:lineRule="auto"/>
        <w:jc w:val="both"/>
        <w:rPr>
          <w:rFonts w:eastAsia="Times New Roman" w:cs="Times New Roman"/>
          <w:color w:val="auto"/>
          <w:szCs w:val="20"/>
        </w:rPr>
      </w:pPr>
    </w:p>
    <w:p w14:paraId="707C9BF5" w14:textId="77777777" w:rsidR="008C1417" w:rsidRPr="00647BCB" w:rsidRDefault="008C1417" w:rsidP="008C1417">
      <w:pPr>
        <w:spacing w:after="0" w:line="240" w:lineRule="auto"/>
        <w:jc w:val="both"/>
        <w:rPr>
          <w:rFonts w:eastAsia="Times New Roman" w:cs="Times New Roman"/>
          <w:b/>
          <w:color w:val="auto"/>
          <w:szCs w:val="20"/>
          <w:u w:val="single"/>
        </w:rPr>
      </w:pPr>
      <w:r w:rsidRPr="00647BCB">
        <w:rPr>
          <w:rFonts w:eastAsia="Times New Roman" w:cs="Times New Roman"/>
          <w:b/>
          <w:color w:val="auto"/>
          <w:szCs w:val="20"/>
          <w:u w:val="single"/>
        </w:rPr>
        <w:t>Application Guidance</w:t>
      </w:r>
    </w:p>
    <w:p w14:paraId="7777E8D5" w14:textId="77777777" w:rsidR="008C1417" w:rsidRPr="0023363D" w:rsidRDefault="008C1417" w:rsidP="008C1417">
      <w:pPr>
        <w:spacing w:after="0" w:line="240" w:lineRule="auto"/>
        <w:jc w:val="both"/>
        <w:rPr>
          <w:rFonts w:eastAsia="Times New Roman" w:cs="Times New Roman"/>
          <w:b/>
          <w:color w:val="auto"/>
          <w:szCs w:val="20"/>
        </w:rPr>
      </w:pPr>
    </w:p>
    <w:p w14:paraId="4E2C23B2" w14:textId="1700B1FE" w:rsidR="008C1417" w:rsidRPr="008C1417" w:rsidRDefault="0000541E" w:rsidP="008C1417">
      <w:pPr>
        <w:pStyle w:val="ListParagraph"/>
        <w:numPr>
          <w:ilvl w:val="0"/>
          <w:numId w:val="15"/>
        </w:numPr>
        <w:spacing w:after="0" w:line="240" w:lineRule="auto"/>
        <w:jc w:val="both"/>
        <w:rPr>
          <w:rFonts w:eastAsia="Times New Roman" w:cs="Times New Roman"/>
          <w:color w:val="auto"/>
          <w:szCs w:val="20"/>
        </w:rPr>
      </w:pPr>
      <w:r w:rsidRPr="00FE76BF">
        <w:rPr>
          <w:color w:val="auto"/>
        </w:rPr>
        <w:t xml:space="preserve">Results Driven Accountability (RDA) formally known as </w:t>
      </w:r>
      <w:hyperlink r:id="rId11" w:history="1">
        <w:r w:rsidR="008C1417" w:rsidRPr="008C1417">
          <w:rPr>
            <w:rStyle w:val="Hyperlink"/>
            <w:rFonts w:eastAsia="Times New Roman" w:cs="Times New Roman"/>
            <w:color w:val="0000FF"/>
            <w:szCs w:val="20"/>
          </w:rPr>
          <w:t>Performance-Based Monitoring Analysis System (PBMAS) Overview</w:t>
        </w:r>
      </w:hyperlink>
      <w:r w:rsidR="008C1417">
        <w:rPr>
          <w:rFonts w:eastAsia="Times New Roman" w:cs="Times New Roman"/>
          <w:color w:val="auto"/>
          <w:szCs w:val="20"/>
        </w:rPr>
        <w:t xml:space="preserve"> (TEA)</w:t>
      </w:r>
    </w:p>
    <w:p w14:paraId="0E62484C" w14:textId="77777777" w:rsidR="004E2A26" w:rsidRPr="004E2A26" w:rsidRDefault="004E2A26" w:rsidP="006E3F0A">
      <w:pPr>
        <w:spacing w:after="0" w:line="240" w:lineRule="auto"/>
        <w:rPr>
          <w:rFonts w:eastAsia="Times New Roman" w:cs="Times New Roman"/>
          <w:color w:val="auto"/>
          <w:szCs w:val="20"/>
        </w:rPr>
      </w:pPr>
    </w:p>
    <w:p w14:paraId="6B7C3CE9" w14:textId="6C012890"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Through the implementation of the</w:t>
      </w:r>
      <w:r w:rsidR="00873F95">
        <w:rPr>
          <w:rFonts w:eastAsia="Times New Roman" w:cs="Times New Roman"/>
          <w:color w:val="auto"/>
          <w:szCs w:val="20"/>
        </w:rPr>
        <w:t xml:space="preserve"> </w:t>
      </w:r>
      <w:r w:rsidR="00622A3E">
        <w:rPr>
          <w:rFonts w:eastAsia="Times New Roman" w:cs="Times New Roman"/>
          <w:color w:val="auto"/>
          <w:szCs w:val="20"/>
        </w:rPr>
        <w:t xml:space="preserve">member </w:t>
      </w:r>
      <w:r w:rsidR="00873F95">
        <w:rPr>
          <w:rFonts w:eastAsia="Times New Roman" w:cs="Times New Roman"/>
          <w:color w:val="auto"/>
          <w:szCs w:val="20"/>
        </w:rPr>
        <w:t>district</w:t>
      </w:r>
      <w:r w:rsidRPr="004E2A26">
        <w:rPr>
          <w:rFonts w:eastAsia="Times New Roman" w:cs="Times New Roman"/>
          <w:color w:val="auto"/>
          <w:szCs w:val="20"/>
        </w:rPr>
        <w:t xml:space="preserve"> policies and procedures as outlined in the </w:t>
      </w:r>
      <w:hyperlink r:id="rId12" w:history="1">
        <w:r w:rsidRPr="00A63868">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w:t>
      </w:r>
      <w:r w:rsidR="00873F95">
        <w:rPr>
          <w:rFonts w:eastAsia="Times New Roman" w:cs="Times New Roman"/>
          <w:color w:val="auto"/>
          <w:szCs w:val="20"/>
        </w:rPr>
        <w:t xml:space="preserve"> </w:t>
      </w:r>
      <w:r w:rsidR="00622A3E">
        <w:rPr>
          <w:rFonts w:eastAsia="Times New Roman" w:cs="Times New Roman"/>
          <w:color w:val="auto"/>
          <w:szCs w:val="20"/>
        </w:rPr>
        <w:t xml:space="preserve">member </w:t>
      </w:r>
      <w:r w:rsidR="00873F95">
        <w:rPr>
          <w:rFonts w:eastAsia="Times New Roman" w:cs="Times New Roman"/>
          <w:color w:val="auto"/>
          <w:szCs w:val="20"/>
        </w:rPr>
        <w:t xml:space="preserve">district </w:t>
      </w:r>
      <w:r w:rsidRPr="004E2A26">
        <w:rPr>
          <w:rFonts w:eastAsia="Times New Roman" w:cs="Times New Roman"/>
          <w:color w:val="auto"/>
          <w:szCs w:val="20"/>
        </w:rPr>
        <w:t>ensures proper collection, review and reporting of program information as required by the IDEA and its accompanying federal regulations, state statutes and regulations.</w:t>
      </w:r>
    </w:p>
    <w:p w14:paraId="1839A46B" w14:textId="77777777" w:rsidR="00E21132" w:rsidRPr="002045E8" w:rsidRDefault="00E21132" w:rsidP="006E3F0A">
      <w:pPr>
        <w:spacing w:after="0" w:line="240" w:lineRule="auto"/>
        <w:jc w:val="both"/>
        <w:rPr>
          <w:rFonts w:eastAsia="Times New Roman" w:cs="Times New Roman"/>
          <w:color w:val="auto"/>
          <w:szCs w:val="20"/>
        </w:rPr>
      </w:pPr>
    </w:p>
    <w:p w14:paraId="76655464" w14:textId="77777777" w:rsidR="00DB231F" w:rsidRDefault="00BA55D1" w:rsidP="009415A3">
      <w:pPr>
        <w:spacing w:after="0" w:line="240" w:lineRule="auto"/>
        <w:rPr>
          <w:szCs w:val="20"/>
        </w:rPr>
      </w:pPr>
      <w:r>
        <w:rPr>
          <w:szCs w:val="20"/>
        </w:rPr>
        <w:pict w14:anchorId="34434C63">
          <v:rect id="_x0000_i1025" style="width:468pt;height:3pt" o:hralign="center" o:hrstd="t" o:hrnoshade="t" o:hr="t" fillcolor="#0f3966 [3204]" stroked="f"/>
        </w:pict>
      </w:r>
    </w:p>
    <w:p w14:paraId="08958318" w14:textId="60AA89AB" w:rsidR="00AB7181" w:rsidRPr="00AB7181" w:rsidRDefault="00AB7181" w:rsidP="00AB7181">
      <w:pPr>
        <w:pStyle w:val="NormalWeb"/>
        <w:shd w:val="clear" w:color="auto" w:fill="FFFFFF"/>
        <w:spacing w:before="0" w:beforeAutospacing="0" w:after="0" w:afterAutospacing="0"/>
        <w:rPr>
          <w:rFonts w:ascii="Verdana" w:hAnsi="Verdana"/>
          <w:sz w:val="20"/>
          <w:szCs w:val="20"/>
        </w:rPr>
      </w:pPr>
      <w:r w:rsidRPr="00AB7181">
        <w:rPr>
          <w:rStyle w:val="portion"/>
          <w:rFonts w:ascii="Verdana" w:hAnsi="Verdana"/>
          <w:iCs/>
          <w:sz w:val="20"/>
          <w:szCs w:val="20"/>
        </w:rPr>
        <w:t>For all specific requirements the district will remain diligent in following requirements specified in the PEIMS manual provided annually by the Texas Education Agency. The district utilizes a computer information system to provide an efficient method of collecting and generating the student data necessary for special education program management. This comprehensive system provides a data bank of student-related information and generates required state and federal reports. It also provides other administrative information critical to program planning and management.</w:t>
      </w:r>
    </w:p>
    <w:p w14:paraId="303D21B8" w14:textId="09703FDD" w:rsidR="00850B01" w:rsidRPr="00AB7181" w:rsidRDefault="00850B01" w:rsidP="00850B01">
      <w:pPr>
        <w:spacing w:after="0" w:line="240" w:lineRule="auto"/>
        <w:rPr>
          <w:rFonts w:eastAsia="Times New Roman" w:cs="Times New Roman"/>
          <w:color w:val="auto"/>
          <w:szCs w:val="20"/>
        </w:rPr>
      </w:pPr>
    </w:p>
    <w:p w14:paraId="324EB37D" w14:textId="64A2B2B5" w:rsidR="00AB7181" w:rsidRPr="00AB7181" w:rsidRDefault="00AB7181" w:rsidP="00850B01">
      <w:pPr>
        <w:spacing w:after="0" w:line="240" w:lineRule="auto"/>
        <w:rPr>
          <w:bCs/>
          <w:color w:val="auto"/>
          <w:szCs w:val="20"/>
          <w:u w:val="single"/>
          <w:shd w:val="clear" w:color="auto" w:fill="FFFFFF"/>
        </w:rPr>
      </w:pPr>
      <w:r w:rsidRPr="00AB7181">
        <w:rPr>
          <w:bCs/>
          <w:color w:val="auto"/>
          <w:szCs w:val="20"/>
          <w:u w:val="single"/>
          <w:shd w:val="clear" w:color="auto" w:fill="FFFFFF"/>
        </w:rPr>
        <w:t>Disproportionality</w:t>
      </w:r>
    </w:p>
    <w:p w14:paraId="0C84D315" w14:textId="77777777" w:rsidR="00AB7181" w:rsidRPr="00AB7181" w:rsidRDefault="00AB7181" w:rsidP="00AB7181">
      <w:pPr>
        <w:numPr>
          <w:ilvl w:val="0"/>
          <w:numId w:val="16"/>
        </w:numPr>
        <w:shd w:val="clear" w:color="auto" w:fill="FFFFFF"/>
        <w:spacing w:after="0" w:line="240" w:lineRule="auto"/>
        <w:rPr>
          <w:rFonts w:eastAsia="Times New Roman" w:cs="Times New Roman"/>
          <w:iCs/>
          <w:color w:val="auto"/>
          <w:szCs w:val="20"/>
        </w:rPr>
      </w:pPr>
      <w:r w:rsidRPr="00AB7181">
        <w:rPr>
          <w:rFonts w:eastAsia="Times New Roman" w:cs="Times New Roman"/>
          <w:iCs/>
          <w:color w:val="auto"/>
          <w:szCs w:val="20"/>
        </w:rPr>
        <w:t>Data will be reviewed and areas of concern identified and addressed at the local campus with support from the special education department.</w:t>
      </w:r>
    </w:p>
    <w:p w14:paraId="5EA29160" w14:textId="495F6BAC" w:rsidR="00AB7181" w:rsidRPr="00AB7181" w:rsidRDefault="00AB7181" w:rsidP="00AB7181">
      <w:pPr>
        <w:numPr>
          <w:ilvl w:val="0"/>
          <w:numId w:val="16"/>
        </w:numPr>
        <w:shd w:val="clear" w:color="auto" w:fill="FFFFFF"/>
        <w:spacing w:after="0" w:line="240" w:lineRule="auto"/>
        <w:rPr>
          <w:rFonts w:eastAsia="Times New Roman" w:cs="Times New Roman"/>
          <w:iCs/>
          <w:color w:val="auto"/>
          <w:szCs w:val="20"/>
        </w:rPr>
      </w:pPr>
      <w:r w:rsidRPr="00AB7181">
        <w:rPr>
          <w:rFonts w:eastAsia="Times New Roman" w:cs="Times New Roman"/>
          <w:iCs/>
          <w:color w:val="auto"/>
          <w:szCs w:val="20"/>
        </w:rPr>
        <w:t>Annual training will be conducted to inform campuses of the special education eligibility procedures and criteria. </w:t>
      </w:r>
    </w:p>
    <w:p w14:paraId="1DAFEFAC" w14:textId="77777777" w:rsidR="00AB7181" w:rsidRPr="00AB7181" w:rsidRDefault="00AB7181" w:rsidP="00AB7181">
      <w:pPr>
        <w:numPr>
          <w:ilvl w:val="0"/>
          <w:numId w:val="16"/>
        </w:numPr>
        <w:shd w:val="clear" w:color="auto" w:fill="FFFFFF"/>
        <w:spacing w:after="0" w:line="240" w:lineRule="auto"/>
        <w:rPr>
          <w:rFonts w:eastAsia="Times New Roman" w:cs="Times New Roman"/>
          <w:iCs/>
          <w:color w:val="auto"/>
          <w:szCs w:val="20"/>
        </w:rPr>
      </w:pPr>
      <w:r w:rsidRPr="00AB7181">
        <w:rPr>
          <w:rFonts w:eastAsia="Times New Roman" w:cs="Times New Roman"/>
          <w:iCs/>
          <w:color w:val="auto"/>
          <w:szCs w:val="20"/>
        </w:rPr>
        <w:t>This annual training will be in collaboration with the campus principal and incorporate the local campus intervention process. Any over identification or other important data information will be noted.</w:t>
      </w:r>
    </w:p>
    <w:p w14:paraId="018A68EA" w14:textId="77777777" w:rsidR="00AB7181" w:rsidRPr="00AB7181" w:rsidRDefault="00AB7181" w:rsidP="00AB7181">
      <w:pPr>
        <w:numPr>
          <w:ilvl w:val="0"/>
          <w:numId w:val="16"/>
        </w:numPr>
        <w:shd w:val="clear" w:color="auto" w:fill="FFFFFF"/>
        <w:spacing w:after="0" w:line="240" w:lineRule="auto"/>
        <w:rPr>
          <w:rFonts w:eastAsia="Times New Roman" w:cs="Times New Roman"/>
          <w:iCs/>
          <w:color w:val="auto"/>
          <w:szCs w:val="20"/>
        </w:rPr>
      </w:pPr>
      <w:r w:rsidRPr="00AB7181">
        <w:rPr>
          <w:rFonts w:eastAsia="Times New Roman" w:cs="Times New Roman"/>
          <w:iCs/>
          <w:color w:val="auto"/>
          <w:szCs w:val="20"/>
        </w:rPr>
        <w:t>Local campuses will identify any additional areas of training needed and report to the principal.</w:t>
      </w:r>
    </w:p>
    <w:p w14:paraId="35E77ACD" w14:textId="7108871F" w:rsidR="00AB7181" w:rsidRDefault="00AB7181" w:rsidP="00AB7181">
      <w:pPr>
        <w:numPr>
          <w:ilvl w:val="0"/>
          <w:numId w:val="16"/>
        </w:numPr>
        <w:shd w:val="clear" w:color="auto" w:fill="FFFFFF"/>
        <w:spacing w:after="0" w:line="240" w:lineRule="auto"/>
        <w:rPr>
          <w:rFonts w:eastAsia="Times New Roman" w:cs="Times New Roman"/>
          <w:iCs/>
          <w:color w:val="auto"/>
          <w:szCs w:val="20"/>
        </w:rPr>
      </w:pPr>
      <w:r w:rsidRPr="00AB7181">
        <w:rPr>
          <w:rFonts w:eastAsia="Times New Roman" w:cs="Times New Roman"/>
          <w:iCs/>
          <w:color w:val="auto"/>
          <w:szCs w:val="20"/>
        </w:rPr>
        <w:t>Evaluation procedures will be followed in order to accurately identify students with a disability.</w:t>
      </w:r>
    </w:p>
    <w:p w14:paraId="546D9DBC" w14:textId="77777777" w:rsidR="00C67381" w:rsidRPr="00AB7181" w:rsidRDefault="00C67381" w:rsidP="00C67381">
      <w:pPr>
        <w:shd w:val="clear" w:color="auto" w:fill="FFFFFF"/>
        <w:spacing w:after="0" w:line="240" w:lineRule="auto"/>
        <w:rPr>
          <w:rFonts w:eastAsia="Times New Roman" w:cs="Times New Roman"/>
          <w:iCs/>
          <w:color w:val="auto"/>
          <w:szCs w:val="20"/>
        </w:rPr>
      </w:pPr>
    </w:p>
    <w:p w14:paraId="6C1B2943" w14:textId="53A187F1" w:rsidR="00C67381" w:rsidRDefault="00AB7181" w:rsidP="00850B01">
      <w:pPr>
        <w:spacing w:after="0" w:line="240" w:lineRule="auto"/>
        <w:rPr>
          <w:iCs/>
          <w:color w:val="auto"/>
          <w:szCs w:val="20"/>
          <w:shd w:val="clear" w:color="auto" w:fill="FFFFFF"/>
        </w:rPr>
      </w:pPr>
      <w:r w:rsidRPr="00AB7181">
        <w:rPr>
          <w:iCs/>
          <w:color w:val="auto"/>
          <w:szCs w:val="20"/>
          <w:shd w:val="clear" w:color="auto" w:fill="FFFFFF"/>
        </w:rPr>
        <w:t>The Special Education Monitoring unit of Program Monitoring and Interventions develops and implements integrated program review processes for special education programs statewide that promote program effectiveness and ensure that state supervision and oversight requirements for special education programs are met as required by state and federal law.</w:t>
      </w:r>
      <w:r w:rsidR="00C67381">
        <w:rPr>
          <w:iCs/>
          <w:color w:val="auto"/>
          <w:szCs w:val="20"/>
          <w:shd w:val="clear" w:color="auto" w:fill="FFFFFF"/>
        </w:rPr>
        <w:t xml:space="preserve"> The Results Driven Accountability (RDA) formerly Performance Based Monitoring Analysis System (PBMAS) </w:t>
      </w:r>
      <w:r w:rsidR="00C67381" w:rsidRPr="00447594">
        <w:rPr>
          <w:color w:val="auto"/>
        </w:rPr>
        <w:t>is responsible for developing and reporting on a variety of data integrity indicators, including indicators to examine leaver/dropout records, disciplinary data, and student assessment data.</w:t>
      </w:r>
    </w:p>
    <w:p w14:paraId="5F7E2851" w14:textId="77777777" w:rsidR="00C67381" w:rsidRDefault="00C67381" w:rsidP="00850B01">
      <w:pPr>
        <w:spacing w:after="0" w:line="240" w:lineRule="auto"/>
        <w:rPr>
          <w:iCs/>
          <w:color w:val="auto"/>
          <w:szCs w:val="20"/>
          <w:shd w:val="clear" w:color="auto" w:fill="FFFFFF"/>
        </w:rPr>
      </w:pPr>
    </w:p>
    <w:p w14:paraId="5F060A3B" w14:textId="78FD7B68" w:rsidR="00EA5113" w:rsidRPr="00BB0BEF" w:rsidRDefault="005C5B8F" w:rsidP="00EA5113">
      <w:pPr>
        <w:spacing w:after="120" w:line="240" w:lineRule="auto"/>
        <w:rPr>
          <w:color w:val="auto"/>
          <w:szCs w:val="20"/>
        </w:rPr>
      </w:pPr>
      <w:r>
        <w:rPr>
          <w:b/>
          <w:color w:val="000000" w:themeColor="text1"/>
          <w:szCs w:val="20"/>
        </w:rPr>
        <w:t>Staff Responsible</w:t>
      </w:r>
      <w:r w:rsidR="00EA5113" w:rsidRPr="00BB0BEF">
        <w:rPr>
          <w:b/>
          <w:color w:val="000000" w:themeColor="text1"/>
          <w:szCs w:val="20"/>
        </w:rPr>
        <w:t xml:space="preserve">:  </w:t>
      </w:r>
      <w:r w:rsidR="00EA5113" w:rsidRPr="00BB0BEF">
        <w:rPr>
          <w:color w:val="000000" w:themeColor="text1"/>
          <w:szCs w:val="20"/>
        </w:rPr>
        <w:t xml:space="preserve">Superintendent, Principal, </w:t>
      </w:r>
      <w:r w:rsidR="00EA5113" w:rsidRPr="00BB0BEF">
        <w:rPr>
          <w:color w:val="auto"/>
          <w:szCs w:val="20"/>
        </w:rPr>
        <w:t>and PEIMS Clerk</w:t>
      </w:r>
    </w:p>
    <w:p w14:paraId="1AC135ED" w14:textId="0261215E" w:rsidR="00D40F92" w:rsidRPr="00BB0BEF" w:rsidRDefault="005C5B8F" w:rsidP="00D40F92">
      <w:pPr>
        <w:spacing w:after="120" w:line="240" w:lineRule="auto"/>
        <w:jc w:val="both"/>
        <w:rPr>
          <w:rFonts w:cs="Calibri"/>
          <w:color w:val="auto"/>
          <w:szCs w:val="20"/>
        </w:rPr>
      </w:pPr>
      <w:r>
        <w:rPr>
          <w:rFonts w:cs="Calibri"/>
          <w:b/>
          <w:color w:val="auto"/>
          <w:szCs w:val="20"/>
        </w:rPr>
        <w:t>Timeline</w:t>
      </w:r>
      <w:r w:rsidR="00EE5292">
        <w:rPr>
          <w:rFonts w:cs="Calibri"/>
          <w:b/>
          <w:color w:val="auto"/>
          <w:szCs w:val="20"/>
        </w:rPr>
        <w:t>s</w:t>
      </w:r>
      <w:r>
        <w:rPr>
          <w:rFonts w:cs="Calibri"/>
          <w:b/>
          <w:color w:val="auto"/>
          <w:szCs w:val="20"/>
        </w:rPr>
        <w:t>:</w:t>
      </w:r>
      <w:r w:rsidR="00D40F92" w:rsidRPr="00BB0BEF">
        <w:rPr>
          <w:rFonts w:cs="Calibri"/>
          <w:b/>
          <w:color w:val="auto"/>
          <w:szCs w:val="20"/>
        </w:rPr>
        <w:t xml:space="preserve"> </w:t>
      </w:r>
      <w:r w:rsidR="00D40F92" w:rsidRPr="00BB0BEF">
        <w:rPr>
          <w:rFonts w:eastAsia="Times New Roman" w:cs="Calibri"/>
          <w:iCs/>
          <w:color w:val="auto"/>
          <w:szCs w:val="20"/>
        </w:rPr>
        <w:t xml:space="preserve">Training of staff who enter data into the </w:t>
      </w:r>
      <w:r w:rsidR="00D40F92" w:rsidRPr="00BB0BEF">
        <w:rPr>
          <w:color w:val="auto"/>
          <w:szCs w:val="20"/>
        </w:rPr>
        <w:t>Public Education Information Management System (PEIMS)</w:t>
      </w:r>
      <w:r w:rsidR="00D40F92" w:rsidRPr="00BB0BEF">
        <w:rPr>
          <w:rFonts w:eastAsia="Times New Roman" w:cs="Calibri"/>
          <w:iCs/>
          <w:color w:val="auto"/>
          <w:szCs w:val="20"/>
        </w:rPr>
        <w:t xml:space="preserve"> at least annually.</w:t>
      </w:r>
    </w:p>
    <w:p w14:paraId="4D5F2109" w14:textId="1623FFF1" w:rsidR="00D40F92" w:rsidRPr="00BB0BEF" w:rsidRDefault="00D40F92" w:rsidP="000B0340">
      <w:pPr>
        <w:spacing w:after="0" w:line="240" w:lineRule="auto"/>
        <w:jc w:val="both"/>
        <w:rPr>
          <w:rFonts w:cs="Calibri"/>
          <w:color w:val="auto"/>
          <w:szCs w:val="20"/>
        </w:rPr>
      </w:pPr>
      <w:r w:rsidRPr="00BB0BEF">
        <w:rPr>
          <w:rFonts w:cs="Calibri"/>
          <w:b/>
          <w:color w:val="auto"/>
          <w:szCs w:val="20"/>
        </w:rPr>
        <w:t>E</w:t>
      </w:r>
      <w:r w:rsidR="00BB0BEF" w:rsidRPr="00BB0BEF">
        <w:rPr>
          <w:rFonts w:cs="Calibri"/>
          <w:b/>
          <w:color w:val="auto"/>
          <w:szCs w:val="20"/>
        </w:rPr>
        <w:t>vidence of Practice</w:t>
      </w:r>
      <w:r w:rsidRPr="00BB0BEF">
        <w:rPr>
          <w:rFonts w:cs="Calibri"/>
          <w:b/>
          <w:color w:val="auto"/>
          <w:szCs w:val="20"/>
        </w:rPr>
        <w:t xml:space="preserve">: </w:t>
      </w:r>
    </w:p>
    <w:p w14:paraId="0964120B" w14:textId="10388C0E" w:rsidR="001B625D" w:rsidRPr="00BB0BEF" w:rsidRDefault="001B625D" w:rsidP="001B625D">
      <w:pPr>
        <w:pStyle w:val="ListParagraph"/>
        <w:numPr>
          <w:ilvl w:val="0"/>
          <w:numId w:val="15"/>
        </w:numPr>
        <w:spacing w:after="120" w:line="240" w:lineRule="auto"/>
        <w:rPr>
          <w:color w:val="auto"/>
          <w:szCs w:val="20"/>
        </w:rPr>
      </w:pPr>
      <w:r w:rsidRPr="00BB0BEF">
        <w:rPr>
          <w:color w:val="auto"/>
          <w:szCs w:val="20"/>
        </w:rPr>
        <w:t xml:space="preserve">Public Education Information Management System (PEIMS) </w:t>
      </w:r>
    </w:p>
    <w:p w14:paraId="6E3198D8" w14:textId="380ECFCA" w:rsidR="00FB785C" w:rsidRPr="00BB0BEF" w:rsidRDefault="00FB785C" w:rsidP="001B625D">
      <w:pPr>
        <w:pStyle w:val="ListParagraph"/>
        <w:numPr>
          <w:ilvl w:val="0"/>
          <w:numId w:val="15"/>
        </w:numPr>
        <w:spacing w:after="120" w:line="240" w:lineRule="auto"/>
        <w:rPr>
          <w:color w:val="auto"/>
          <w:szCs w:val="20"/>
        </w:rPr>
      </w:pPr>
      <w:r w:rsidRPr="00BB0BEF">
        <w:rPr>
          <w:color w:val="auto"/>
          <w:szCs w:val="20"/>
        </w:rPr>
        <w:t>Training Certificates</w:t>
      </w:r>
    </w:p>
    <w:p w14:paraId="2B464AA8" w14:textId="3937E4D7" w:rsidR="00780444" w:rsidRPr="00BB0BEF" w:rsidRDefault="00780444" w:rsidP="001B625D">
      <w:pPr>
        <w:pStyle w:val="ListParagraph"/>
        <w:numPr>
          <w:ilvl w:val="0"/>
          <w:numId w:val="15"/>
        </w:numPr>
        <w:spacing w:after="120" w:line="240" w:lineRule="auto"/>
        <w:rPr>
          <w:color w:val="auto"/>
          <w:szCs w:val="20"/>
        </w:rPr>
      </w:pPr>
      <w:r w:rsidRPr="00BB0BEF">
        <w:rPr>
          <w:color w:val="auto"/>
          <w:szCs w:val="20"/>
        </w:rPr>
        <w:t>State Performance Plan data</w:t>
      </w:r>
    </w:p>
    <w:p w14:paraId="3052E86B" w14:textId="14D56FEE" w:rsidR="00780444" w:rsidRPr="00BB0BEF" w:rsidRDefault="00780444" w:rsidP="001B625D">
      <w:pPr>
        <w:pStyle w:val="ListParagraph"/>
        <w:numPr>
          <w:ilvl w:val="0"/>
          <w:numId w:val="15"/>
        </w:numPr>
        <w:spacing w:after="120" w:line="240" w:lineRule="auto"/>
        <w:rPr>
          <w:color w:val="auto"/>
          <w:szCs w:val="20"/>
        </w:rPr>
      </w:pPr>
      <w:r w:rsidRPr="00BB0BEF">
        <w:rPr>
          <w:color w:val="auto"/>
          <w:szCs w:val="20"/>
        </w:rPr>
        <w:lastRenderedPageBreak/>
        <w:t>Results Driven Accountability data</w:t>
      </w:r>
    </w:p>
    <w:p w14:paraId="2683E145" w14:textId="77777777" w:rsidR="008F4C90" w:rsidRPr="00BB0BEF" w:rsidRDefault="008F4C90" w:rsidP="00850B01">
      <w:pPr>
        <w:spacing w:after="0" w:line="240" w:lineRule="auto"/>
        <w:rPr>
          <w:rFonts w:eastAsia="Times New Roman" w:cs="Times New Roman"/>
          <w:color w:val="auto"/>
          <w:szCs w:val="20"/>
        </w:rPr>
      </w:pPr>
    </w:p>
    <w:sectPr w:rsidR="008F4C90" w:rsidRPr="00BB0BEF" w:rsidSect="00A15E5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BE012" w14:textId="77777777" w:rsidR="00BA55D1" w:rsidRDefault="00BA55D1">
      <w:pPr>
        <w:spacing w:after="0" w:line="240" w:lineRule="auto"/>
      </w:pPr>
      <w:r>
        <w:separator/>
      </w:r>
    </w:p>
  </w:endnote>
  <w:endnote w:type="continuationSeparator" w:id="0">
    <w:p w14:paraId="72716AD3" w14:textId="77777777" w:rsidR="00BA55D1" w:rsidRDefault="00BA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71BA" w14:textId="77777777" w:rsidR="00EE6FD8" w:rsidRDefault="00EE6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4239"/>
      <w:gridCol w:w="5121"/>
    </w:tblGrid>
    <w:tr w:rsidR="00A15E59" w:rsidRPr="00CD22C5" w14:paraId="6EADD8F4" w14:textId="77777777" w:rsidTr="0010572E">
      <w:trPr>
        <w:jc w:val="center"/>
      </w:trPr>
      <w:tc>
        <w:tcPr>
          <w:tcW w:w="4338" w:type="dxa"/>
          <w:vAlign w:val="center"/>
        </w:tcPr>
        <w:p w14:paraId="036CE961" w14:textId="5ED8CDB5"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8D1FBA">
            <w:rPr>
              <w:b w:val="0"/>
              <w:sz w:val="16"/>
              <w:szCs w:val="16"/>
            </w:rPr>
            <w:t>Procedures</w:t>
          </w:r>
        </w:p>
      </w:tc>
      <w:tc>
        <w:tcPr>
          <w:tcW w:w="5238" w:type="dxa"/>
          <w:vAlign w:val="center"/>
        </w:tcPr>
        <w:p w14:paraId="0441E2FE" w14:textId="77777777" w:rsidR="00A15E59" w:rsidRPr="009A1B8F" w:rsidRDefault="006E3F0A" w:rsidP="009A5ACF">
          <w:pPr>
            <w:pStyle w:val="Footer"/>
            <w:tabs>
              <w:tab w:val="left" w:pos="1260"/>
            </w:tabs>
            <w:jc w:val="right"/>
            <w:rPr>
              <w:sz w:val="16"/>
              <w:szCs w:val="16"/>
            </w:rPr>
          </w:pPr>
          <w:r>
            <w:rPr>
              <w:sz w:val="16"/>
              <w:szCs w:val="16"/>
            </w:rPr>
            <w:t>ADMINISTRATION OF PROGRAM INFORMATION</w:t>
          </w:r>
        </w:p>
      </w:tc>
    </w:tr>
    <w:tr w:rsidR="00A15E59" w:rsidRPr="00CD22C5" w14:paraId="4702431D" w14:textId="77777777" w:rsidTr="0010572E">
      <w:trPr>
        <w:jc w:val="center"/>
      </w:trPr>
      <w:tc>
        <w:tcPr>
          <w:tcW w:w="4338" w:type="dxa"/>
          <w:vAlign w:val="center"/>
        </w:tcPr>
        <w:p w14:paraId="1E68E8B3" w14:textId="59EAFA44"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7D5D65" w:rsidRPr="00AC4998">
            <w:rPr>
              <w:b w:val="0"/>
              <w:sz w:val="16"/>
              <w:szCs w:val="16"/>
            </w:rPr>
            <w:t>08/</w:t>
          </w:r>
          <w:r w:rsidR="00EE6FD8">
            <w:rPr>
              <w:b w:val="0"/>
              <w:sz w:val="16"/>
              <w:szCs w:val="16"/>
            </w:rPr>
            <w:t>2025</w:t>
          </w:r>
          <w:bookmarkStart w:id="0" w:name="_GoBack"/>
          <w:bookmarkEnd w:id="0"/>
        </w:p>
      </w:tc>
      <w:tc>
        <w:tcPr>
          <w:tcW w:w="5238" w:type="dxa"/>
          <w:vAlign w:val="center"/>
        </w:tcPr>
        <w:p w14:paraId="39B3EFC6"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8079B8">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079B8">
            <w:rPr>
              <w:b w:val="0"/>
              <w:noProof/>
              <w:sz w:val="16"/>
              <w:szCs w:val="16"/>
            </w:rPr>
            <w:t>2</w:t>
          </w:r>
          <w:r w:rsidRPr="00CD22C5">
            <w:rPr>
              <w:b w:val="0"/>
              <w:sz w:val="16"/>
              <w:szCs w:val="16"/>
            </w:rPr>
            <w:fldChar w:fldCharType="end"/>
          </w:r>
        </w:p>
      </w:tc>
    </w:tr>
  </w:tbl>
  <w:p w14:paraId="3CD5949D"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732D476B" w14:textId="77777777" w:rsidTr="00CD22C5">
      <w:tc>
        <w:tcPr>
          <w:tcW w:w="4338" w:type="dxa"/>
          <w:vAlign w:val="center"/>
        </w:tcPr>
        <w:p w14:paraId="3BCB54D9"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0282E8E5"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4B7DBCEA" w14:textId="77777777" w:rsidTr="00CD22C5">
      <w:tc>
        <w:tcPr>
          <w:tcW w:w="4338" w:type="dxa"/>
          <w:vAlign w:val="center"/>
        </w:tcPr>
        <w:p w14:paraId="2B19D6DA"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195420DF"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6E3F0A">
            <w:rPr>
              <w:b w:val="0"/>
              <w:noProof/>
              <w:sz w:val="16"/>
              <w:szCs w:val="16"/>
            </w:rPr>
            <w:t>1</w:t>
          </w:r>
          <w:r w:rsidRPr="00CD22C5">
            <w:rPr>
              <w:b w:val="0"/>
              <w:sz w:val="16"/>
              <w:szCs w:val="16"/>
            </w:rPr>
            <w:fldChar w:fldCharType="end"/>
          </w:r>
        </w:p>
      </w:tc>
    </w:tr>
  </w:tbl>
  <w:p w14:paraId="31C535CD"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0EF77" w14:textId="77777777" w:rsidR="00BA55D1" w:rsidRDefault="00BA55D1">
      <w:pPr>
        <w:spacing w:after="0" w:line="240" w:lineRule="auto"/>
      </w:pPr>
      <w:r>
        <w:separator/>
      </w:r>
    </w:p>
  </w:footnote>
  <w:footnote w:type="continuationSeparator" w:id="0">
    <w:p w14:paraId="133FF819" w14:textId="77777777" w:rsidR="00BA55D1" w:rsidRDefault="00BA5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2FD3" w14:textId="77777777" w:rsidR="00EE6FD8" w:rsidRDefault="00EE6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8659"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009"/>
    </w:tblGrid>
    <w:tr w:rsidR="00A15E59" w:rsidRPr="00A15E59" w14:paraId="086E97D5" w14:textId="77777777" w:rsidTr="007C5773">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8659" w:type="dxa"/>
          <w:gridSpan w:val="2"/>
          <w:vAlign w:val="center"/>
        </w:tcPr>
        <w:p w14:paraId="4176DFA5"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8D1FBA">
            <w:rPr>
              <w:sz w:val="24"/>
            </w:rPr>
            <w:t>PROCEDURES</w:t>
          </w:r>
        </w:p>
      </w:tc>
    </w:tr>
    <w:tr w:rsidR="00A15E59" w:rsidRPr="00A15E59" w14:paraId="090C6261" w14:textId="77777777" w:rsidTr="007C5773">
      <w:trPr>
        <w:trHeight w:val="432"/>
        <w:jc w:val="center"/>
      </w:trPr>
      <w:tc>
        <w:tcPr>
          <w:cnfStyle w:val="001000000000" w:firstRow="0" w:lastRow="0" w:firstColumn="1" w:lastColumn="0" w:oddVBand="0" w:evenVBand="0" w:oddHBand="0" w:evenHBand="0" w:firstRowFirstColumn="0" w:firstRowLastColumn="0" w:lastRowFirstColumn="0" w:lastRowLastColumn="0"/>
          <w:tcW w:w="8659" w:type="dxa"/>
          <w:gridSpan w:val="2"/>
          <w:vAlign w:val="center"/>
        </w:tcPr>
        <w:p w14:paraId="15C38685" w14:textId="77777777" w:rsidR="00727C62" w:rsidRPr="00A15E59" w:rsidRDefault="00727C62" w:rsidP="00A15E59">
          <w:pPr>
            <w:pStyle w:val="Header"/>
            <w:spacing w:before="0"/>
            <w:jc w:val="center"/>
            <w:rPr>
              <w:sz w:val="24"/>
            </w:rPr>
          </w:pPr>
          <w:r w:rsidRPr="00A15E59">
            <w:rPr>
              <w:sz w:val="24"/>
            </w:rPr>
            <w:t xml:space="preserve">ADMINISTRATION OF </w:t>
          </w:r>
          <w:r w:rsidR="00A15E59" w:rsidRPr="00A15E59">
            <w:rPr>
              <w:sz w:val="24"/>
            </w:rPr>
            <w:t>PROGRAM INFORMATION</w:t>
          </w:r>
        </w:p>
      </w:tc>
    </w:tr>
    <w:tr w:rsidR="00A15E59" w:rsidRPr="00A15E59" w14:paraId="1C0014DB" w14:textId="77777777" w:rsidTr="007C5773">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7CC3E3D7" w14:textId="03D55EFF" w:rsidR="00A15E59" w:rsidRDefault="00A15E59" w:rsidP="0017202D">
          <w:pPr>
            <w:pStyle w:val="Header"/>
            <w:spacing w:before="0"/>
            <w:jc w:val="left"/>
            <w:rPr>
              <w:b w:val="0"/>
            </w:rPr>
          </w:pPr>
        </w:p>
        <w:p w14:paraId="3B26D059" w14:textId="5291863D" w:rsidR="002B39C0" w:rsidRPr="00A15E59" w:rsidRDefault="002B39C0" w:rsidP="0017202D">
          <w:pPr>
            <w:pStyle w:val="Header"/>
            <w:spacing w:before="0"/>
            <w:jc w:val="left"/>
          </w:pPr>
          <w:r>
            <w:rPr>
              <w:color w:val="auto"/>
            </w:rPr>
            <w:t>Robertson County Special Services</w:t>
          </w:r>
        </w:p>
      </w:tc>
      <w:tc>
        <w:tcPr>
          <w:tcW w:w="1009" w:type="dxa"/>
          <w:vAlign w:val="center"/>
        </w:tcPr>
        <w:p w14:paraId="5B13A725" w14:textId="2BAA13C9"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4A2CC3F0"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6A85C" w14:textId="77777777" w:rsidR="00EE6FD8" w:rsidRDefault="00EE6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0A663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34B94F82"/>
    <w:multiLevelType w:val="hybridMultilevel"/>
    <w:tmpl w:val="344A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4CF76227"/>
    <w:multiLevelType w:val="hybridMultilevel"/>
    <w:tmpl w:val="B8E0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77B03"/>
    <w:multiLevelType w:val="multilevel"/>
    <w:tmpl w:val="FFDC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BA679C"/>
    <w:multiLevelType w:val="hybridMultilevel"/>
    <w:tmpl w:val="453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5"/>
  </w:num>
  <w:num w:numId="15">
    <w:abstractNumId w:val="13"/>
  </w:num>
  <w:num w:numId="16">
    <w:abstractNumId w:val="14"/>
  </w:num>
  <w:num w:numId="17">
    <w:abstractNumId w:val="1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0541E"/>
    <w:rsid w:val="00026EFA"/>
    <w:rsid w:val="00027F91"/>
    <w:rsid w:val="000B0340"/>
    <w:rsid w:val="000C551A"/>
    <w:rsid w:val="0010572E"/>
    <w:rsid w:val="00140EB8"/>
    <w:rsid w:val="001703AB"/>
    <w:rsid w:val="0017202D"/>
    <w:rsid w:val="001B625D"/>
    <w:rsid w:val="001F7935"/>
    <w:rsid w:val="002045E8"/>
    <w:rsid w:val="00271990"/>
    <w:rsid w:val="0028322A"/>
    <w:rsid w:val="00287E6A"/>
    <w:rsid w:val="002B39C0"/>
    <w:rsid w:val="003111D7"/>
    <w:rsid w:val="00340F81"/>
    <w:rsid w:val="003B497C"/>
    <w:rsid w:val="003D5101"/>
    <w:rsid w:val="0042096F"/>
    <w:rsid w:val="00426C23"/>
    <w:rsid w:val="00441B4E"/>
    <w:rsid w:val="00445B94"/>
    <w:rsid w:val="00447594"/>
    <w:rsid w:val="00482A68"/>
    <w:rsid w:val="004E2A26"/>
    <w:rsid w:val="004F452C"/>
    <w:rsid w:val="005A126A"/>
    <w:rsid w:val="005C5B8F"/>
    <w:rsid w:val="00622A3E"/>
    <w:rsid w:val="00630B35"/>
    <w:rsid w:val="00664D51"/>
    <w:rsid w:val="006E3F0A"/>
    <w:rsid w:val="00727C62"/>
    <w:rsid w:val="00780444"/>
    <w:rsid w:val="007C5773"/>
    <w:rsid w:val="007D30D3"/>
    <w:rsid w:val="007D5D65"/>
    <w:rsid w:val="008079B8"/>
    <w:rsid w:val="00850B01"/>
    <w:rsid w:val="00873F95"/>
    <w:rsid w:val="00884D94"/>
    <w:rsid w:val="008C1417"/>
    <w:rsid w:val="008D1FBA"/>
    <w:rsid w:val="008E1425"/>
    <w:rsid w:val="008F4C90"/>
    <w:rsid w:val="009415A3"/>
    <w:rsid w:val="00962988"/>
    <w:rsid w:val="009E3F0B"/>
    <w:rsid w:val="00A15E59"/>
    <w:rsid w:val="00A63868"/>
    <w:rsid w:val="00A71518"/>
    <w:rsid w:val="00AB7181"/>
    <w:rsid w:val="00AC4998"/>
    <w:rsid w:val="00AF4725"/>
    <w:rsid w:val="00AF70D2"/>
    <w:rsid w:val="00B14931"/>
    <w:rsid w:val="00BA3742"/>
    <w:rsid w:val="00BA55D1"/>
    <w:rsid w:val="00BB0BEF"/>
    <w:rsid w:val="00BB359B"/>
    <w:rsid w:val="00BC6F22"/>
    <w:rsid w:val="00BD7293"/>
    <w:rsid w:val="00BF10DE"/>
    <w:rsid w:val="00C2558A"/>
    <w:rsid w:val="00C26B43"/>
    <w:rsid w:val="00C67381"/>
    <w:rsid w:val="00C754E3"/>
    <w:rsid w:val="00CD22C5"/>
    <w:rsid w:val="00CE5EEE"/>
    <w:rsid w:val="00D40F92"/>
    <w:rsid w:val="00D45E93"/>
    <w:rsid w:val="00D54A17"/>
    <w:rsid w:val="00D653D0"/>
    <w:rsid w:val="00D8526D"/>
    <w:rsid w:val="00DB231F"/>
    <w:rsid w:val="00DC5915"/>
    <w:rsid w:val="00E00450"/>
    <w:rsid w:val="00E009AB"/>
    <w:rsid w:val="00E164D4"/>
    <w:rsid w:val="00E21132"/>
    <w:rsid w:val="00E4257E"/>
    <w:rsid w:val="00EA5113"/>
    <w:rsid w:val="00ED5C01"/>
    <w:rsid w:val="00EE5292"/>
    <w:rsid w:val="00EE6FD8"/>
    <w:rsid w:val="00F04CEA"/>
    <w:rsid w:val="00F15347"/>
    <w:rsid w:val="00F74DDE"/>
    <w:rsid w:val="00F90F60"/>
    <w:rsid w:val="00F9195E"/>
    <w:rsid w:val="00FB0003"/>
    <w:rsid w:val="00FB785C"/>
    <w:rsid w:val="00FE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E7D90"/>
  <w15:docId w15:val="{EDEEDFA8-A285-4D56-996E-38404F22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7D30D3"/>
    <w:pPr>
      <w:ind w:left="720"/>
      <w:contextualSpacing/>
    </w:pPr>
  </w:style>
  <w:style w:type="paragraph" w:styleId="NormalWeb">
    <w:name w:val="Normal (Web)"/>
    <w:basedOn w:val="Normal"/>
    <w:uiPriority w:val="99"/>
    <w:semiHidden/>
    <w:unhideWhenUsed/>
    <w:rsid w:val="00AB7181"/>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portion">
    <w:name w:val="portion"/>
    <w:basedOn w:val="DefaultParagraphFont"/>
    <w:rsid w:val="00AB7181"/>
  </w:style>
  <w:style w:type="character" w:customStyle="1" w:styleId="ListParagraphChar">
    <w:name w:val="List Paragraph Char"/>
    <w:aliases w:val="Numbered List Paragraph Char"/>
    <w:link w:val="ListParagraph"/>
    <w:uiPriority w:val="34"/>
    <w:locked/>
    <w:rsid w:val="00780444"/>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7178">
      <w:bodyDiv w:val="1"/>
      <w:marLeft w:val="0"/>
      <w:marRight w:val="0"/>
      <w:marTop w:val="0"/>
      <w:marBottom w:val="0"/>
      <w:divBdr>
        <w:top w:val="none" w:sz="0" w:space="0" w:color="auto"/>
        <w:left w:val="none" w:sz="0" w:space="0" w:color="auto"/>
        <w:bottom w:val="none" w:sz="0" w:space="0" w:color="auto"/>
        <w:right w:val="none" w:sz="0" w:space="0" w:color="auto"/>
      </w:divBdr>
    </w:div>
    <w:div w:id="1322731848">
      <w:bodyDiv w:val="1"/>
      <w:marLeft w:val="0"/>
      <w:marRight w:val="0"/>
      <w:marTop w:val="0"/>
      <w:marBottom w:val="0"/>
      <w:divBdr>
        <w:top w:val="none" w:sz="0" w:space="0" w:color="auto"/>
        <w:left w:val="none" w:sz="0" w:space="0" w:color="auto"/>
        <w:bottom w:val="none" w:sz="0" w:space="0" w:color="auto"/>
        <w:right w:val="none" w:sz="0" w:space="0" w:color="auto"/>
      </w:divBdr>
    </w:div>
    <w:div w:id="17008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5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amework.esc18.net/display/Webforms/LandingPage.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texas.gov/Student_Testing_and_Accountability/PBM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ed.gov/policy/speced/guid/idea/letters/2007-2/osep0709disproportionality2q2007.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ed.gov/policy/speced/guid/idea/memosdcltrs/11-026516r-ca-hill-woolsey-monitoring-6-26-12.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B4CE039-85CF-42E2-A9A1-192C5C90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46</cp:revision>
  <cp:lastPrinted>2016-02-29T22:47:00Z</cp:lastPrinted>
  <dcterms:created xsi:type="dcterms:W3CDTF">2021-11-01T15:48:00Z</dcterms:created>
  <dcterms:modified xsi:type="dcterms:W3CDTF">2025-10-27T14:49:00Z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