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410AF9">
          <w:rPr>
            <w:rStyle w:val="Hyperlink"/>
            <w:szCs w:val="20"/>
          </w:rPr>
          <w:t>Annual Goals</w:t>
        </w:r>
      </w:hyperlink>
      <w:r w:rsidRPr="008E1425">
        <w:rPr>
          <w:color w:val="000000" w:themeColor="text1"/>
          <w:szCs w:val="20"/>
        </w:rPr>
        <w:t xml:space="preserve"> </w:t>
      </w:r>
    </w:p>
    <w:p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E73801">
        <w:rPr>
          <w:color w:val="000000" w:themeColor="text1"/>
          <w:szCs w:val="20"/>
        </w:rPr>
        <w:t>Admission, Review, and Dismissal Committee</w:t>
      </w:r>
      <w:r w:rsidR="009415A3">
        <w:rPr>
          <w:color w:val="000099"/>
          <w:szCs w:val="20"/>
        </w:rPr>
        <w:tab/>
      </w:r>
      <w:r w:rsidR="00980EAE">
        <w:rPr>
          <w:color w:val="000000" w:themeColor="text1"/>
          <w:sz w:val="12"/>
          <w:szCs w:val="12"/>
        </w:rPr>
        <w:t>Template update Oct</w:t>
      </w:r>
      <w:r w:rsidR="009415A3" w:rsidRPr="009415A3">
        <w:rPr>
          <w:color w:val="000000" w:themeColor="text1"/>
          <w:sz w:val="12"/>
          <w:szCs w:val="12"/>
        </w:rPr>
        <w:t xml:space="preserve"> 2016</w:t>
      </w:r>
    </w:p>
    <w:p w:rsidR="00D46B8E" w:rsidRDefault="00D46B8E" w:rsidP="00D46B8E">
      <w:pPr>
        <w:spacing w:after="0" w:line="240" w:lineRule="auto"/>
        <w:jc w:val="both"/>
        <w:rPr>
          <w:rFonts w:eastAsia="Times New Roman" w:cs="Times New Roman"/>
          <w:color w:val="auto"/>
          <w:szCs w:val="20"/>
        </w:rPr>
      </w:pPr>
    </w:p>
    <w:p w:rsidR="002C7E18" w:rsidRPr="002C7E18" w:rsidRDefault="002C7E18" w:rsidP="002C7E18">
      <w:pPr>
        <w:spacing w:after="0" w:line="240" w:lineRule="auto"/>
        <w:jc w:val="both"/>
        <w:rPr>
          <w:rFonts w:eastAsia="Times New Roman" w:cs="Tahoma"/>
          <w:color w:val="000000"/>
          <w:szCs w:val="20"/>
        </w:rPr>
      </w:pPr>
      <w:r w:rsidRPr="002C7E18">
        <w:rPr>
          <w:rFonts w:eastAsia="Times New Roman" w:cs="Tahoma"/>
          <w:color w:val="000000"/>
          <w:szCs w:val="20"/>
        </w:rPr>
        <w:t>Several commenters asked the U.S. Department of Education to state that not every [individualized education program] IEP must include a statement about the child’s “functional performance” and “functional goals.” The U.S. Department of Education pointed out that the language is in the statute, and therefore, cannot be omitted.  Thus the IEP must always include a statement of “the child’s present levels of academic achievement and functional performance.”  71 Fed. Reg. 46662 (August 14, 2006).</w:t>
      </w:r>
    </w:p>
    <w:p w:rsidR="002C7E18" w:rsidRPr="002C7E18" w:rsidRDefault="002C7E18" w:rsidP="002C7E18">
      <w:pPr>
        <w:spacing w:after="0" w:line="240" w:lineRule="auto"/>
        <w:jc w:val="both"/>
        <w:rPr>
          <w:rFonts w:eastAsia="Times New Roman" w:cs="Tahoma"/>
          <w:color w:val="000000"/>
          <w:szCs w:val="20"/>
        </w:rPr>
      </w:pPr>
    </w:p>
    <w:p w:rsidR="002C7E18" w:rsidRPr="002C7E18" w:rsidRDefault="002C7E18" w:rsidP="002C7E18">
      <w:pPr>
        <w:spacing w:after="0" w:line="240" w:lineRule="auto"/>
        <w:jc w:val="both"/>
        <w:rPr>
          <w:rFonts w:eastAsia="Times New Roman" w:cs="Tahoma"/>
          <w:color w:val="000000"/>
          <w:szCs w:val="20"/>
        </w:rPr>
      </w:pPr>
      <w:r w:rsidRPr="002C7E18">
        <w:rPr>
          <w:rFonts w:eastAsia="Times New Roman" w:cs="Tahoma"/>
          <w:color w:val="000000"/>
          <w:szCs w:val="20"/>
        </w:rPr>
        <w:t>“It is not necessary to include a definition of ‘functional’ in these regulations because we believe it is a term that is generally understood to refer to skills or activities that are not considered academic or related to a child’s academic achievement.  Instead, ‘functional’ is often used in the context of routine activities of everyday living.”  71 Fed. Reg. 4661 (August 14, 2006).</w:t>
      </w:r>
    </w:p>
    <w:p w:rsidR="002C7E18" w:rsidRPr="002C7E18" w:rsidRDefault="002C7E18" w:rsidP="002C7E18">
      <w:pPr>
        <w:spacing w:after="0" w:line="240" w:lineRule="auto"/>
        <w:jc w:val="both"/>
        <w:rPr>
          <w:rFonts w:eastAsia="Times New Roman" w:cs="Tahoma"/>
          <w:color w:val="000000"/>
          <w:szCs w:val="20"/>
        </w:rPr>
      </w:pPr>
    </w:p>
    <w:p w:rsidR="002C7E18" w:rsidRPr="002C7E18" w:rsidRDefault="002C7E18" w:rsidP="002C7E18">
      <w:pPr>
        <w:spacing w:after="0" w:line="240" w:lineRule="auto"/>
        <w:jc w:val="both"/>
        <w:rPr>
          <w:rFonts w:eastAsia="Times New Roman" w:cs="Tahoma"/>
          <w:b/>
          <w:color w:val="000000"/>
          <w:szCs w:val="20"/>
          <w:u w:val="single"/>
        </w:rPr>
      </w:pPr>
      <w:r w:rsidRPr="002C7E18">
        <w:rPr>
          <w:rFonts w:eastAsia="Times New Roman" w:cs="Tahoma"/>
          <w:color w:val="000000"/>
          <w:szCs w:val="20"/>
        </w:rPr>
        <w:t xml:space="preserve">“The Act does not require goals to be written for each specific discipline.” 71 Fed. Reg. 4662 (August 14, 2006).  </w:t>
      </w:r>
    </w:p>
    <w:p w:rsidR="002C7E18" w:rsidRPr="002C7E18" w:rsidRDefault="002C7E18" w:rsidP="002C7E18">
      <w:pPr>
        <w:spacing w:after="0" w:line="240" w:lineRule="auto"/>
        <w:jc w:val="both"/>
        <w:rPr>
          <w:rFonts w:eastAsia="Times New Roman" w:cs="Tahoma"/>
          <w:color w:val="000000"/>
          <w:szCs w:val="20"/>
        </w:rPr>
      </w:pPr>
    </w:p>
    <w:p w:rsidR="002C7E18" w:rsidRPr="002C7E18" w:rsidRDefault="002C7E18" w:rsidP="002C7E18">
      <w:pPr>
        <w:spacing w:after="0" w:line="240" w:lineRule="auto"/>
        <w:jc w:val="both"/>
        <w:rPr>
          <w:rFonts w:eastAsia="Times New Roman" w:cs="Tahoma"/>
          <w:color w:val="000000"/>
          <w:szCs w:val="20"/>
        </w:rPr>
      </w:pPr>
      <w:r w:rsidRPr="002C7E18">
        <w:rPr>
          <w:rFonts w:eastAsia="Times New Roman" w:cs="Tahoma"/>
          <w:color w:val="000000"/>
          <w:szCs w:val="20"/>
        </w:rPr>
        <w:t xml:space="preserve">“For example, if the IEP Team has determined that a student needs speech and language therapy services as a component of [free appropriate public education] FAPE, the IEP must include goals and objectives that address the student's need to develop and/or improve communication-related skills.  It would not be necessary, however, to label the goals and objectives as ‘speech therapy’ goals and objectives.  Therefore, if the IEP includes goals and objectives which appropriately address the student's need to develop communication-related skills, no additional or separate ‘therapy’ goals and objectives would be required.”  </w:t>
      </w:r>
      <w:hyperlink r:id="rId9" w:history="1">
        <w:r w:rsidRPr="00DC2979">
          <w:rPr>
            <w:rStyle w:val="Hyperlink"/>
            <w:rFonts w:eastAsia="Times New Roman" w:cs="Tahoma"/>
            <w:i/>
            <w:szCs w:val="20"/>
          </w:rPr>
          <w:t>OSEP Letter</w:t>
        </w:r>
        <w:r w:rsidRPr="00DC2979">
          <w:rPr>
            <w:rStyle w:val="Hyperlink"/>
            <w:rFonts w:eastAsia="Times New Roman" w:cs="Tahoma"/>
            <w:i/>
            <w:iCs/>
            <w:szCs w:val="20"/>
          </w:rPr>
          <w:t xml:space="preserve"> to Hayden</w:t>
        </w:r>
        <w:r w:rsidRPr="00DC2979">
          <w:rPr>
            <w:rStyle w:val="Hyperlink"/>
            <w:rFonts w:eastAsia="Times New Roman" w:cs="Tahoma"/>
            <w:i/>
            <w:szCs w:val="20"/>
          </w:rPr>
          <w:t xml:space="preserve"> </w:t>
        </w:r>
        <w:r w:rsidRPr="00DC2979">
          <w:rPr>
            <w:rStyle w:val="Hyperlink"/>
            <w:rFonts w:eastAsia="Times New Roman" w:cs="Tahoma"/>
            <w:szCs w:val="20"/>
          </w:rPr>
          <w:t>(October 3, 1994)</w:t>
        </w:r>
      </w:hyperlink>
      <w:r w:rsidRPr="002C7E18">
        <w:rPr>
          <w:rFonts w:eastAsia="Times New Roman" w:cs="Tahoma"/>
          <w:color w:val="000000"/>
          <w:szCs w:val="20"/>
        </w:rPr>
        <w:t xml:space="preserve">. </w:t>
      </w:r>
    </w:p>
    <w:p w:rsidR="002C7E18" w:rsidRPr="002C7E18" w:rsidRDefault="002C7E18" w:rsidP="002C7E18">
      <w:pPr>
        <w:spacing w:after="0" w:line="240" w:lineRule="auto"/>
        <w:jc w:val="both"/>
        <w:rPr>
          <w:rFonts w:eastAsia="Times New Roman" w:cs="Tahoma"/>
          <w:color w:val="000000"/>
          <w:szCs w:val="20"/>
        </w:rPr>
      </w:pPr>
    </w:p>
    <w:p w:rsidR="002C7E18" w:rsidRPr="002C7E18" w:rsidRDefault="002C7E18" w:rsidP="002C7E18">
      <w:pPr>
        <w:spacing w:after="0" w:line="240" w:lineRule="auto"/>
        <w:jc w:val="both"/>
        <w:rPr>
          <w:rFonts w:eastAsia="Times New Roman" w:cs="Tahoma"/>
          <w:color w:val="000000"/>
          <w:szCs w:val="20"/>
        </w:rPr>
      </w:pPr>
      <w:r w:rsidRPr="002C7E18">
        <w:rPr>
          <w:rFonts w:eastAsia="Times New Roman" w:cs="Tahoma"/>
          <w:color w:val="000000"/>
          <w:szCs w:val="20"/>
        </w:rPr>
        <w:t>“[The Act] requires an IEP to include benchmarks or short term objectives for children with disabilities who take an alternate assessment aligned to alternate achievement standards. This would apply to preschool children and children with disabilities in kindergarten through grade two only if these children are assessed in a State or district-wide assessment program and the State has opted to develop an alternate assessment based on alternate achievement standards.”  71 Fed. Reg. 46663 (August 14, 2006).</w:t>
      </w:r>
    </w:p>
    <w:p w:rsidR="002C7E18" w:rsidRPr="002C7E18" w:rsidRDefault="002C7E18" w:rsidP="002C7E18">
      <w:pPr>
        <w:spacing w:after="0" w:line="240" w:lineRule="auto"/>
        <w:jc w:val="both"/>
        <w:rPr>
          <w:rFonts w:eastAsia="Times New Roman" w:cs="Tahoma"/>
          <w:color w:val="000000"/>
          <w:szCs w:val="20"/>
        </w:rPr>
      </w:pPr>
    </w:p>
    <w:p w:rsidR="002C7E18" w:rsidRPr="002C7E18" w:rsidRDefault="002C7E18" w:rsidP="002C7E18">
      <w:pPr>
        <w:spacing w:after="0" w:line="240" w:lineRule="auto"/>
        <w:jc w:val="both"/>
        <w:rPr>
          <w:rFonts w:eastAsia="Times New Roman" w:cs="Tahoma"/>
          <w:color w:val="000000"/>
          <w:szCs w:val="20"/>
        </w:rPr>
      </w:pPr>
      <w:r w:rsidRPr="002C7E18">
        <w:rPr>
          <w:rFonts w:eastAsia="Times New Roman" w:cs="Tahoma"/>
          <w:color w:val="000000"/>
          <w:szCs w:val="20"/>
        </w:rPr>
        <w:t xml:space="preserve">“Although the final Part B regulation requires that IEPs must include a description of benchmarks or short-term objectives only in the IEPs of students with disabilities who take alternate assessments aligned to alternate achievement standards, the regulation does not specify what years the IEPs of students who take alternate assessments aligned to alternate achievement standards must include a description of benchmarks or short-term objectives.  </w:t>
      </w:r>
      <w:r w:rsidR="00733C2A">
        <w:rPr>
          <w:rFonts w:eastAsia="Times New Roman" w:cs="Tahoma"/>
          <w:color w:val="000000"/>
          <w:szCs w:val="20"/>
        </w:rPr>
        <w:t xml:space="preserve">[Office of Special Education Programs] </w:t>
      </w:r>
      <w:r w:rsidRPr="002C7E18">
        <w:rPr>
          <w:rFonts w:eastAsia="Times New Roman" w:cs="Tahoma"/>
          <w:color w:val="000000"/>
          <w:szCs w:val="20"/>
        </w:rPr>
        <w:t xml:space="preserve">OSEP believes, at a minimum, Part B requires States and public agencies to require a description of benchmarks or short-term objectives in the IEPs of students with disabilities who take alternate assessments aligned to alternate achievement standards during the years that the students take an alternate assessment.”  </w:t>
      </w:r>
      <w:hyperlink r:id="rId10" w:history="1">
        <w:r w:rsidRPr="002C7E18">
          <w:rPr>
            <w:rStyle w:val="Hyperlink"/>
            <w:rFonts w:eastAsia="Times New Roman" w:cs="Tahoma"/>
            <w:i/>
            <w:szCs w:val="20"/>
          </w:rPr>
          <w:t>OSEP Letter to Kelly</w:t>
        </w:r>
        <w:r w:rsidRPr="002C7E18">
          <w:rPr>
            <w:rStyle w:val="Hyperlink"/>
            <w:rFonts w:eastAsia="Times New Roman" w:cs="Tahoma"/>
            <w:szCs w:val="20"/>
          </w:rPr>
          <w:t xml:space="preserve"> (August 24, 2007)</w:t>
        </w:r>
      </w:hyperlink>
      <w:r w:rsidRPr="00E705BC">
        <w:rPr>
          <w:rFonts w:eastAsia="Times New Roman" w:cs="Tahoma"/>
          <w:color w:val="000000" w:themeColor="text1"/>
          <w:szCs w:val="20"/>
        </w:rPr>
        <w:t>.</w:t>
      </w:r>
    </w:p>
    <w:p w:rsidR="002C7E18" w:rsidRPr="002C7E18" w:rsidRDefault="002C7E18" w:rsidP="002C7E18">
      <w:pPr>
        <w:spacing w:after="0" w:line="240" w:lineRule="auto"/>
        <w:jc w:val="both"/>
        <w:rPr>
          <w:rFonts w:eastAsia="Times New Roman" w:cs="Tahoma"/>
          <w:color w:val="000000"/>
          <w:szCs w:val="20"/>
        </w:rPr>
      </w:pPr>
    </w:p>
    <w:p w:rsidR="002C7E18" w:rsidRPr="002C7E18" w:rsidRDefault="002C7E18" w:rsidP="002C7E18">
      <w:pPr>
        <w:spacing w:after="0" w:line="240" w:lineRule="auto"/>
        <w:jc w:val="both"/>
        <w:rPr>
          <w:rFonts w:eastAsia="Times New Roman" w:cs="Tahoma"/>
          <w:color w:val="000000"/>
          <w:szCs w:val="20"/>
        </w:rPr>
      </w:pPr>
      <w:r w:rsidRPr="002C7E18">
        <w:rPr>
          <w:rFonts w:eastAsia="Times New Roman" w:cs="Tahoma"/>
          <w:color w:val="000000"/>
          <w:szCs w:val="20"/>
        </w:rPr>
        <w:t>“Based on the interpretation of ’general education curriculum’ set forth in this letter, we expect annual IEP goals to be aligned with State academic content standards for the grade in which a child is enrolled. This alignment, however, must guide but not replace the individualized decision-making required in the IEP process. In fact, the</w:t>
      </w:r>
      <w:r w:rsidR="00733C2A">
        <w:rPr>
          <w:rFonts w:eastAsia="Times New Roman" w:cs="Tahoma"/>
          <w:color w:val="000000"/>
          <w:szCs w:val="20"/>
        </w:rPr>
        <w:t xml:space="preserve"> </w:t>
      </w:r>
      <w:r w:rsidR="00733C2A" w:rsidRPr="002C7E18">
        <w:rPr>
          <w:rFonts w:eastAsia="Times New Roman" w:cs="Tahoma"/>
          <w:color w:val="000000"/>
          <w:szCs w:val="20"/>
        </w:rPr>
        <w:t xml:space="preserve">[Individuals with Disabilities Education Act] </w:t>
      </w:r>
      <w:r w:rsidRPr="002C7E18">
        <w:rPr>
          <w:rFonts w:eastAsia="Times New Roman" w:cs="Tahoma"/>
          <w:color w:val="000000"/>
          <w:szCs w:val="20"/>
        </w:rPr>
        <w:t xml:space="preserve">IDEA's focus on the individual needs of each child with a disability is an </w:t>
      </w:r>
      <w:r w:rsidRPr="002C7E18">
        <w:rPr>
          <w:rFonts w:eastAsia="Times New Roman" w:cs="Tahoma"/>
          <w:color w:val="000000"/>
          <w:szCs w:val="20"/>
        </w:rPr>
        <w:lastRenderedPageBreak/>
        <w:t xml:space="preserve">essential consideration when IEP Teams are writing annual goals that are aligned with State academic content standards for the grade in which a child is enrolled so that the child can advance appropriately toward attaining those goals during the annual period covered by the IEP. In developing an IEP, the IEP Team must consider how a child's specific disability impacts his or her ability to advance appropriately toward attaining his or her annual goals that are aligned with applicable State content standards during the period covered by the IEP. For example, the child's IEP Team may consider the special education instruction that has been provided to the child, the child's previous rate of academic growth, and whether the child is on track to achieve grade-level proficiency within the year.”  </w:t>
      </w:r>
      <w:hyperlink r:id="rId11" w:history="1">
        <w:r w:rsidRPr="00E705BC">
          <w:rPr>
            <w:rStyle w:val="Hyperlink"/>
            <w:rFonts w:eastAsia="Times New Roman" w:cs="Tahoma"/>
            <w:i/>
            <w:szCs w:val="20"/>
          </w:rPr>
          <w:t>OSERS Dear Colleague Letter</w:t>
        </w:r>
        <w:r w:rsidRPr="002C7E18">
          <w:rPr>
            <w:rStyle w:val="Hyperlink"/>
            <w:rFonts w:eastAsia="Times New Roman" w:cs="Tahoma"/>
            <w:szCs w:val="20"/>
          </w:rPr>
          <w:t xml:space="preserve"> (November 16, 2015)</w:t>
        </w:r>
      </w:hyperlink>
      <w:r w:rsidRPr="00E705BC">
        <w:rPr>
          <w:rFonts w:eastAsia="Times New Roman" w:cs="Tahoma"/>
          <w:color w:val="000000" w:themeColor="text1"/>
          <w:szCs w:val="20"/>
        </w:rPr>
        <w:t>.</w:t>
      </w:r>
    </w:p>
    <w:p w:rsidR="002C7E18" w:rsidRPr="002C7E18" w:rsidRDefault="002C7E18" w:rsidP="002C7E18">
      <w:pPr>
        <w:spacing w:after="0" w:line="240" w:lineRule="auto"/>
        <w:jc w:val="both"/>
        <w:rPr>
          <w:rFonts w:eastAsia="Times New Roman" w:cs="Tahoma"/>
          <w:color w:val="000000"/>
          <w:szCs w:val="20"/>
        </w:rPr>
      </w:pPr>
    </w:p>
    <w:p w:rsidR="002C7E18" w:rsidRPr="002C7E18" w:rsidRDefault="002C7E18" w:rsidP="002C7E18">
      <w:pPr>
        <w:spacing w:after="0" w:line="240" w:lineRule="auto"/>
        <w:jc w:val="both"/>
        <w:rPr>
          <w:rFonts w:eastAsia="Times New Roman" w:cs="Tahoma"/>
          <w:color w:val="000000"/>
          <w:szCs w:val="20"/>
        </w:rPr>
      </w:pPr>
      <w:r w:rsidRPr="002C7E18">
        <w:rPr>
          <w:rFonts w:eastAsia="Times New Roman" w:cs="Tahoma"/>
          <w:color w:val="000000"/>
          <w:szCs w:val="20"/>
        </w:rPr>
        <w:t xml:space="preserve">“In a case where a child's present levels of academic performance are significantly below the grade in which the child is enrolled, in order to align the IEP with grade-level content standards, the IEP Team should estimate the growth toward the State academic content standards for the grade in which the child is enrolled that the child is expected to achieve in the year covered by the IEP. In a situation where a child is performing significantly below the level of the grade in which the child is enrolled, an IEP Team should determine annual goals that are ambitious but achievable. In other words, the annual goals need not necessarily result in the child's reaching grade-level within the year covered by the IEP, but the goals should be sufficiently ambitious to help close the gap.”  </w:t>
      </w:r>
      <w:hyperlink r:id="rId12" w:history="1">
        <w:r w:rsidRPr="00E705BC">
          <w:rPr>
            <w:rStyle w:val="Hyperlink"/>
            <w:rFonts w:eastAsia="Times New Roman" w:cs="Tahoma"/>
            <w:i/>
            <w:szCs w:val="20"/>
          </w:rPr>
          <w:t xml:space="preserve">OSERS Dear Colleague Letter </w:t>
        </w:r>
        <w:r w:rsidRPr="002C7E18">
          <w:rPr>
            <w:rStyle w:val="Hyperlink"/>
            <w:rFonts w:eastAsia="Times New Roman" w:cs="Tahoma"/>
            <w:szCs w:val="20"/>
          </w:rPr>
          <w:t>(November 16, 2015)</w:t>
        </w:r>
      </w:hyperlink>
      <w:r w:rsidRPr="00E705BC">
        <w:rPr>
          <w:rFonts w:eastAsia="Times New Roman" w:cs="Tahoma"/>
          <w:color w:val="000000" w:themeColor="text1"/>
          <w:szCs w:val="20"/>
        </w:rPr>
        <w:t>.</w:t>
      </w:r>
    </w:p>
    <w:p w:rsidR="002C7E18" w:rsidRPr="002C7E18" w:rsidRDefault="002C7E18" w:rsidP="002C7E18">
      <w:pPr>
        <w:spacing w:after="0" w:line="240" w:lineRule="auto"/>
        <w:jc w:val="both"/>
        <w:rPr>
          <w:rFonts w:eastAsia="Times New Roman" w:cs="Tahoma"/>
          <w:color w:val="000000"/>
          <w:szCs w:val="20"/>
        </w:rPr>
      </w:pPr>
    </w:p>
    <w:p w:rsidR="002C7E18" w:rsidRPr="002C7E18" w:rsidRDefault="002C7E18" w:rsidP="002C7E18">
      <w:pPr>
        <w:spacing w:after="0" w:line="240" w:lineRule="auto"/>
        <w:jc w:val="both"/>
        <w:rPr>
          <w:rFonts w:eastAsia="Times New Roman" w:cs="Tahoma"/>
          <w:color w:val="000000"/>
          <w:szCs w:val="20"/>
        </w:rPr>
      </w:pPr>
      <w:r w:rsidRPr="002C7E18">
        <w:rPr>
          <w:rFonts w:eastAsia="Times New Roman" w:cs="Tahoma"/>
          <w:color w:val="000000"/>
          <w:szCs w:val="20"/>
        </w:rPr>
        <w:t>“The Act does not require goals</w:t>
      </w:r>
      <w:r w:rsidR="00733C2A">
        <w:rPr>
          <w:rFonts w:eastAsia="Times New Roman" w:cs="Tahoma"/>
          <w:color w:val="000000"/>
          <w:szCs w:val="20"/>
        </w:rPr>
        <w:t xml:space="preserve"> . . . </w:t>
      </w:r>
      <w:r w:rsidRPr="002C7E18">
        <w:rPr>
          <w:rFonts w:eastAsia="Times New Roman" w:cs="Tahoma"/>
          <w:color w:val="000000"/>
          <w:szCs w:val="20"/>
        </w:rPr>
        <w:t>to have outcomes and measures on a specific assessment tool.”  71 Fed. Reg. 46662 (August 14, 2006).</w:t>
      </w:r>
    </w:p>
    <w:p w:rsidR="002C7E18" w:rsidRPr="002C7E18" w:rsidRDefault="002C7E18" w:rsidP="002C7E18">
      <w:pPr>
        <w:spacing w:after="0" w:line="240" w:lineRule="auto"/>
        <w:jc w:val="both"/>
        <w:rPr>
          <w:rFonts w:eastAsia="Times New Roman" w:cs="Tahoma"/>
          <w:color w:val="000000"/>
          <w:szCs w:val="20"/>
        </w:rPr>
      </w:pPr>
    </w:p>
    <w:p w:rsidR="002C7E18" w:rsidRPr="002C7E18" w:rsidRDefault="002C7E18" w:rsidP="002C7E18">
      <w:pPr>
        <w:spacing w:after="0" w:line="240" w:lineRule="auto"/>
        <w:jc w:val="both"/>
        <w:rPr>
          <w:rFonts w:eastAsia="Times New Roman" w:cs="Tahoma"/>
          <w:color w:val="000000"/>
          <w:szCs w:val="20"/>
        </w:rPr>
      </w:pPr>
      <w:r w:rsidRPr="002C7E18">
        <w:rPr>
          <w:rFonts w:eastAsia="Times New Roman" w:cs="Tahoma"/>
          <w:color w:val="000000"/>
          <w:szCs w:val="20"/>
        </w:rPr>
        <w:t xml:space="preserve">“The regulation at 34 CFR § 300.320(a)(2)(ii) specifies that the IEPs of children who take alternate assessments aligned to alternate achievement standards must include a description of benchmarks or short-term objectives, but there is no specific IDEA requirement for reporting to parents on every child's progress in meeting these benchmarks or short-term objectives. Therefore, whether reporting on benchmarks or short-term objectives is necessary to meaningfully report on progress toward meeting the annual goals must be determined on a case-by-case basis.  While not specifically required by the IDEA, there may be some children participating in the alternate assessment aligned to alternate achievement standards for whom reporting on the progress in meeting the benchmarks or short-term objectives included in the child's IEP is the appropriate way to report meaningfully to parents on that child's progress in meeting the annual IEP goals. However, this is a matter that IDEA leaves to the discretion of the IEP Team.” </w:t>
      </w:r>
      <w:r w:rsidR="00E705BC">
        <w:rPr>
          <w:rFonts w:eastAsia="Times New Roman" w:cs="Tahoma"/>
          <w:color w:val="000000"/>
          <w:szCs w:val="20"/>
        </w:rPr>
        <w:t xml:space="preserve"> </w:t>
      </w:r>
      <w:hyperlink r:id="rId13" w:history="1">
        <w:r w:rsidRPr="00E705BC">
          <w:rPr>
            <w:rStyle w:val="Hyperlink"/>
            <w:rFonts w:eastAsia="Times New Roman" w:cs="Tahoma"/>
            <w:i/>
            <w:szCs w:val="20"/>
          </w:rPr>
          <w:t>OSEP Letter to Lenz</w:t>
        </w:r>
        <w:r w:rsidRPr="002C7E18">
          <w:rPr>
            <w:rStyle w:val="Hyperlink"/>
            <w:rFonts w:eastAsia="Times New Roman" w:cs="Tahoma"/>
            <w:szCs w:val="20"/>
          </w:rPr>
          <w:t xml:space="preserve"> (February 7, 2014)</w:t>
        </w:r>
      </w:hyperlink>
      <w:r w:rsidRPr="002C7E18">
        <w:rPr>
          <w:rFonts w:eastAsia="Times New Roman" w:cs="Tahoma"/>
          <w:color w:val="000000"/>
          <w:szCs w:val="20"/>
        </w:rPr>
        <w:t>.</w:t>
      </w:r>
    </w:p>
    <w:p w:rsidR="002C7E18" w:rsidRPr="002C7E18" w:rsidRDefault="002C7E18" w:rsidP="002C7E18">
      <w:pPr>
        <w:spacing w:after="0" w:line="240" w:lineRule="auto"/>
        <w:jc w:val="both"/>
        <w:rPr>
          <w:rFonts w:eastAsia="Times New Roman" w:cs="Tahoma"/>
          <w:color w:val="000000"/>
          <w:szCs w:val="20"/>
        </w:rPr>
      </w:pPr>
    </w:p>
    <w:p w:rsidR="002C7E18" w:rsidRPr="002C7E18" w:rsidRDefault="002C7E18" w:rsidP="002C7E18">
      <w:pPr>
        <w:spacing w:after="0" w:line="240" w:lineRule="auto"/>
        <w:jc w:val="both"/>
        <w:rPr>
          <w:rFonts w:eastAsia="Times New Roman" w:cs="Tahoma"/>
          <w:color w:val="000000"/>
          <w:szCs w:val="20"/>
        </w:rPr>
      </w:pPr>
      <w:r w:rsidRPr="002C7E18">
        <w:rPr>
          <w:rFonts w:eastAsia="Times New Roman" w:cs="Tahoma"/>
          <w:color w:val="000000"/>
          <w:szCs w:val="20"/>
        </w:rPr>
        <w:t>“Report cards and quarterly report cards are used as examples in 300.320(a)(3) of when periodic reports on the child’s progress toward meeting the annual goals might be provided.  The specific times that progress reports are to be provided to parents and the specific manner and format in which a child’s progress toward meeting the annual goals is reported is best left to State and local officials to determine.”  71 Fed. Reg. 46664 (August 14, 2006).</w:t>
      </w:r>
    </w:p>
    <w:p w:rsidR="002C7E18" w:rsidRPr="002C7E18" w:rsidRDefault="002C7E18" w:rsidP="002C7E18">
      <w:pPr>
        <w:spacing w:after="0" w:line="240" w:lineRule="auto"/>
        <w:jc w:val="both"/>
        <w:rPr>
          <w:rFonts w:eastAsia="Times New Roman" w:cs="Tahoma"/>
          <w:color w:val="000000"/>
          <w:szCs w:val="20"/>
        </w:rPr>
      </w:pPr>
    </w:p>
    <w:p w:rsidR="002C7E18" w:rsidRDefault="002C7E18" w:rsidP="002C7E18">
      <w:pPr>
        <w:spacing w:after="0" w:line="240" w:lineRule="auto"/>
        <w:jc w:val="both"/>
        <w:rPr>
          <w:rFonts w:eastAsia="Times New Roman" w:cs="Tahoma"/>
          <w:b/>
          <w:color w:val="000000"/>
          <w:szCs w:val="20"/>
          <w:u w:val="single"/>
        </w:rPr>
      </w:pPr>
      <w:r w:rsidRPr="002C7E18">
        <w:rPr>
          <w:rFonts w:eastAsia="Times New Roman" w:cs="Tahoma"/>
          <w:b/>
          <w:color w:val="000000"/>
          <w:szCs w:val="20"/>
          <w:u w:val="single"/>
        </w:rPr>
        <w:t>Application Guidance</w:t>
      </w:r>
    </w:p>
    <w:p w:rsidR="0018409F" w:rsidRPr="0018409F" w:rsidRDefault="0018409F" w:rsidP="002C7E18">
      <w:pPr>
        <w:spacing w:after="0" w:line="240" w:lineRule="auto"/>
        <w:jc w:val="both"/>
        <w:rPr>
          <w:rFonts w:eastAsia="Times New Roman" w:cs="Tahoma"/>
          <w:color w:val="000000"/>
          <w:szCs w:val="20"/>
        </w:rPr>
      </w:pPr>
    </w:p>
    <w:p w:rsidR="002C7E18" w:rsidRPr="002C7E18" w:rsidRDefault="003717A7" w:rsidP="002C7E18">
      <w:pPr>
        <w:numPr>
          <w:ilvl w:val="0"/>
          <w:numId w:val="22"/>
        </w:numPr>
        <w:spacing w:after="0" w:line="240" w:lineRule="auto"/>
        <w:jc w:val="both"/>
        <w:rPr>
          <w:rFonts w:eastAsia="Times New Roman" w:cs="Tahoma"/>
          <w:color w:val="000000"/>
          <w:szCs w:val="20"/>
        </w:rPr>
      </w:pPr>
      <w:hyperlink r:id="rId14" w:history="1">
        <w:r w:rsidR="002C7E18" w:rsidRPr="002C7E18">
          <w:rPr>
            <w:rStyle w:val="Hyperlink"/>
            <w:rFonts w:eastAsia="Times New Roman" w:cs="Tahoma"/>
            <w:szCs w:val="20"/>
          </w:rPr>
          <w:t>IEP Annual Goal Development Question &amp; Answer Document</w:t>
        </w:r>
      </w:hyperlink>
      <w:r w:rsidR="002C7E18" w:rsidRPr="002C7E18">
        <w:rPr>
          <w:rFonts w:eastAsia="Times New Roman" w:cs="Tahoma"/>
          <w:color w:val="000000"/>
          <w:szCs w:val="20"/>
        </w:rPr>
        <w:t xml:space="preserve"> (TEA &amp; AGC Network)</w:t>
      </w:r>
    </w:p>
    <w:p w:rsidR="002C7E18" w:rsidRPr="002C7E18" w:rsidRDefault="003717A7" w:rsidP="002C7E18">
      <w:pPr>
        <w:numPr>
          <w:ilvl w:val="0"/>
          <w:numId w:val="22"/>
        </w:numPr>
        <w:spacing w:after="0" w:line="240" w:lineRule="auto"/>
        <w:jc w:val="both"/>
        <w:rPr>
          <w:rFonts w:eastAsia="Times New Roman" w:cs="Tahoma"/>
          <w:color w:val="000000"/>
          <w:szCs w:val="20"/>
        </w:rPr>
      </w:pPr>
      <w:hyperlink r:id="rId15" w:history="1">
        <w:r w:rsidR="002C7E18" w:rsidRPr="002C7E18">
          <w:rPr>
            <w:rStyle w:val="Hyperlink"/>
            <w:rFonts w:eastAsia="Times New Roman" w:cs="Tahoma"/>
            <w:szCs w:val="20"/>
          </w:rPr>
          <w:t>IEP Goal Development in Texas Online Training</w:t>
        </w:r>
      </w:hyperlink>
      <w:r w:rsidR="002C7E18" w:rsidRPr="002C7E18">
        <w:rPr>
          <w:rFonts w:eastAsia="Times New Roman" w:cs="Tahoma"/>
          <w:color w:val="000000"/>
          <w:szCs w:val="20"/>
        </w:rPr>
        <w:t xml:space="preserve"> (Region 20 ESC)</w:t>
      </w:r>
    </w:p>
    <w:p w:rsidR="002C7E18" w:rsidRPr="002C7E18" w:rsidRDefault="003717A7" w:rsidP="002C7E18">
      <w:pPr>
        <w:numPr>
          <w:ilvl w:val="0"/>
          <w:numId w:val="22"/>
        </w:numPr>
        <w:spacing w:after="0" w:line="240" w:lineRule="auto"/>
        <w:jc w:val="both"/>
        <w:rPr>
          <w:rFonts w:eastAsia="Times New Roman" w:cs="Tahoma"/>
          <w:color w:val="000000"/>
          <w:szCs w:val="20"/>
        </w:rPr>
      </w:pPr>
      <w:hyperlink r:id="rId16" w:history="1">
        <w:r w:rsidR="002C7E18" w:rsidRPr="002C7E18">
          <w:rPr>
            <w:rStyle w:val="Hyperlink"/>
            <w:rFonts w:eastAsia="Times New Roman" w:cs="Tahoma"/>
            <w:szCs w:val="20"/>
          </w:rPr>
          <w:t>Standards-Based Individualized Education Program Guidance</w:t>
        </w:r>
      </w:hyperlink>
      <w:r w:rsidR="002C7E18" w:rsidRPr="002C7E18">
        <w:rPr>
          <w:rFonts w:eastAsia="Times New Roman" w:cs="Tahoma"/>
          <w:color w:val="000000"/>
          <w:szCs w:val="20"/>
        </w:rPr>
        <w:t xml:space="preserve"> (TEA)</w:t>
      </w:r>
    </w:p>
    <w:p w:rsidR="002C7E18" w:rsidRPr="002C7E18" w:rsidRDefault="003717A7" w:rsidP="002C7E18">
      <w:pPr>
        <w:numPr>
          <w:ilvl w:val="0"/>
          <w:numId w:val="22"/>
        </w:numPr>
        <w:spacing w:after="0" w:line="240" w:lineRule="auto"/>
        <w:jc w:val="both"/>
        <w:rPr>
          <w:rFonts w:eastAsia="Times New Roman" w:cs="Tahoma"/>
          <w:color w:val="000000"/>
          <w:szCs w:val="20"/>
        </w:rPr>
      </w:pPr>
      <w:hyperlink r:id="rId17" w:history="1">
        <w:r w:rsidR="0018409F">
          <w:rPr>
            <w:rStyle w:val="Hyperlink"/>
            <w:rFonts w:eastAsia="Times New Roman" w:cs="Tahoma"/>
            <w:szCs w:val="20"/>
          </w:rPr>
          <w:t>Texas Essential Knowledge and Skills (TEKS)</w:t>
        </w:r>
      </w:hyperlink>
      <w:r w:rsidR="002C7E18" w:rsidRPr="002C7E18">
        <w:rPr>
          <w:rFonts w:eastAsia="Times New Roman" w:cs="Tahoma"/>
          <w:color w:val="000000"/>
          <w:szCs w:val="20"/>
        </w:rPr>
        <w:t xml:space="preserve"> (TEA)</w:t>
      </w:r>
    </w:p>
    <w:p w:rsidR="002C7E18" w:rsidRPr="002C7E18" w:rsidRDefault="003717A7" w:rsidP="002C7E18">
      <w:pPr>
        <w:numPr>
          <w:ilvl w:val="0"/>
          <w:numId w:val="22"/>
        </w:numPr>
        <w:spacing w:after="0" w:line="240" w:lineRule="auto"/>
        <w:jc w:val="both"/>
        <w:rPr>
          <w:rFonts w:eastAsia="Times New Roman" w:cs="Tahoma"/>
          <w:color w:val="000000"/>
          <w:szCs w:val="20"/>
        </w:rPr>
      </w:pPr>
      <w:hyperlink r:id="rId18" w:history="1">
        <w:r w:rsidR="002C7E18" w:rsidRPr="002C7E18">
          <w:rPr>
            <w:rStyle w:val="Hyperlink"/>
            <w:rFonts w:eastAsia="Times New Roman" w:cs="Tahoma"/>
            <w:szCs w:val="20"/>
          </w:rPr>
          <w:t>A Seven-Step Process to Creating Standards-</w:t>
        </w:r>
        <w:r w:rsidR="005D11B3">
          <w:rPr>
            <w:rStyle w:val="Hyperlink"/>
            <w:rFonts w:eastAsia="Times New Roman" w:cs="Tahoma"/>
            <w:szCs w:val="20"/>
          </w:rPr>
          <w:t>B</w:t>
        </w:r>
        <w:r w:rsidR="002C7E18" w:rsidRPr="002C7E18">
          <w:rPr>
            <w:rStyle w:val="Hyperlink"/>
            <w:rFonts w:eastAsia="Times New Roman" w:cs="Tahoma"/>
            <w:szCs w:val="20"/>
          </w:rPr>
          <w:t>ased IEPs</w:t>
        </w:r>
      </w:hyperlink>
      <w:r w:rsidR="002C7E18" w:rsidRPr="002C7E18">
        <w:rPr>
          <w:rFonts w:eastAsia="Times New Roman" w:cs="Tahoma"/>
          <w:color w:val="000000"/>
          <w:szCs w:val="20"/>
        </w:rPr>
        <w:t xml:space="preserve"> (OSEP)</w:t>
      </w:r>
    </w:p>
    <w:p w:rsidR="002C7E18" w:rsidRPr="002C7E18" w:rsidRDefault="003717A7" w:rsidP="002C7E18">
      <w:pPr>
        <w:numPr>
          <w:ilvl w:val="0"/>
          <w:numId w:val="22"/>
        </w:numPr>
        <w:spacing w:after="0" w:line="240" w:lineRule="auto"/>
        <w:jc w:val="both"/>
        <w:rPr>
          <w:rFonts w:eastAsia="Times New Roman" w:cs="Tahoma"/>
          <w:color w:val="000000"/>
          <w:szCs w:val="20"/>
        </w:rPr>
      </w:pPr>
      <w:hyperlink r:id="rId19" w:history="1">
        <w:r w:rsidR="0018409F">
          <w:rPr>
            <w:rStyle w:val="Hyperlink"/>
            <w:rFonts w:eastAsia="Times New Roman" w:cs="Tahoma"/>
            <w:szCs w:val="20"/>
          </w:rPr>
          <w:t>Standards-Based IEP—Implementation Update</w:t>
        </w:r>
      </w:hyperlink>
      <w:r w:rsidR="002C7E18" w:rsidRPr="002C7E18">
        <w:rPr>
          <w:rFonts w:eastAsia="Times New Roman" w:cs="Tahoma"/>
          <w:color w:val="000000"/>
          <w:szCs w:val="20"/>
        </w:rPr>
        <w:t xml:space="preserve"> (NASDSE)</w:t>
      </w:r>
    </w:p>
    <w:p w:rsidR="002C7E18" w:rsidRPr="002C7E18" w:rsidRDefault="003717A7" w:rsidP="002C7E18">
      <w:pPr>
        <w:numPr>
          <w:ilvl w:val="0"/>
          <w:numId w:val="22"/>
        </w:numPr>
        <w:spacing w:after="0" w:line="240" w:lineRule="auto"/>
        <w:jc w:val="both"/>
        <w:rPr>
          <w:rFonts w:eastAsia="Times New Roman" w:cs="Tahoma"/>
          <w:color w:val="000000"/>
          <w:szCs w:val="20"/>
        </w:rPr>
      </w:pPr>
      <w:hyperlink r:id="rId20" w:history="1">
        <w:r w:rsidR="002C7E18" w:rsidRPr="002C7E18">
          <w:rPr>
            <w:rStyle w:val="Hyperlink"/>
            <w:rFonts w:eastAsia="Times New Roman" w:cs="Tahoma"/>
            <w:szCs w:val="20"/>
          </w:rPr>
          <w:t>Standards-Based IEP Examples</w:t>
        </w:r>
      </w:hyperlink>
      <w:r w:rsidR="002C7E18" w:rsidRPr="002C7E18">
        <w:rPr>
          <w:rFonts w:eastAsia="Times New Roman" w:cs="Tahoma"/>
          <w:color w:val="000000"/>
          <w:szCs w:val="20"/>
        </w:rPr>
        <w:t xml:space="preserve"> (NASDSE)</w:t>
      </w:r>
    </w:p>
    <w:p w:rsidR="002C7E18" w:rsidRPr="002C7E18" w:rsidRDefault="002C7E18" w:rsidP="002C7E18">
      <w:pPr>
        <w:spacing w:after="0" w:line="240" w:lineRule="auto"/>
        <w:jc w:val="both"/>
        <w:rPr>
          <w:rFonts w:eastAsia="Times New Roman" w:cs="Tahoma"/>
          <w:color w:val="000000"/>
          <w:szCs w:val="20"/>
        </w:rPr>
      </w:pPr>
    </w:p>
    <w:p w:rsidR="002C7E18" w:rsidRPr="00E24459" w:rsidRDefault="002C7E18" w:rsidP="002C7E18">
      <w:pPr>
        <w:spacing w:after="0" w:line="240" w:lineRule="auto"/>
        <w:jc w:val="both"/>
        <w:rPr>
          <w:rFonts w:eastAsia="Times New Roman" w:cs="Tahoma"/>
          <w:color w:val="000000"/>
          <w:szCs w:val="20"/>
        </w:rPr>
      </w:pPr>
      <w:r w:rsidRPr="002C7E18">
        <w:rPr>
          <w:rFonts w:eastAsia="Times New Roman" w:cs="Tahoma"/>
          <w:color w:val="000000"/>
          <w:szCs w:val="20"/>
        </w:rPr>
        <w:t>Through the implementation of the</w:t>
      </w:r>
      <w:r w:rsidR="002632BB">
        <w:rPr>
          <w:rFonts w:eastAsia="Times New Roman" w:cs="Tahoma"/>
          <w:color w:val="000000"/>
          <w:szCs w:val="20"/>
        </w:rPr>
        <w:t xml:space="preserve"> member</w:t>
      </w:r>
      <w:r w:rsidRPr="002C7E18">
        <w:rPr>
          <w:rFonts w:eastAsia="Times New Roman" w:cs="Tahoma"/>
          <w:color w:val="000000"/>
          <w:szCs w:val="20"/>
        </w:rPr>
        <w:t xml:space="preserve"> </w:t>
      </w:r>
      <w:r w:rsidR="00F84B27">
        <w:rPr>
          <w:rFonts w:eastAsia="Times New Roman" w:cs="Times New Roman"/>
          <w:color w:val="auto"/>
          <w:szCs w:val="20"/>
        </w:rPr>
        <w:t>district</w:t>
      </w:r>
      <w:r w:rsidRPr="00A24125">
        <w:rPr>
          <w:rFonts w:eastAsia="Times New Roman" w:cs="Tahoma"/>
          <w:color w:val="000000"/>
          <w:szCs w:val="20"/>
        </w:rPr>
        <w:t xml:space="preserve"> policies and procedures as outlined in the </w:t>
      </w:r>
      <w:hyperlink r:id="rId21" w:history="1">
        <w:r w:rsidR="00E705BC" w:rsidRPr="00A24125">
          <w:rPr>
            <w:rStyle w:val="Hyperlink"/>
            <w:rFonts w:eastAsia="Times New Roman" w:cs="Times New Roman"/>
            <w:szCs w:val="20"/>
          </w:rPr>
          <w:t>Legal Framework</w:t>
        </w:r>
      </w:hyperlink>
      <w:r w:rsidRPr="00A24125">
        <w:rPr>
          <w:rFonts w:eastAsia="Times New Roman" w:cs="Tahoma"/>
          <w:color w:val="000000"/>
          <w:szCs w:val="20"/>
        </w:rPr>
        <w:t xml:space="preserve"> for the Child-Centered Special Education Process, the </w:t>
      </w:r>
      <w:r w:rsidR="002632BB">
        <w:rPr>
          <w:rFonts w:eastAsia="Times New Roman" w:cs="Tahoma"/>
          <w:color w:val="000000"/>
          <w:szCs w:val="20"/>
        </w:rPr>
        <w:t xml:space="preserve">member </w:t>
      </w:r>
      <w:r w:rsidR="00F84B27">
        <w:rPr>
          <w:rFonts w:eastAsia="Times New Roman" w:cs="Times New Roman"/>
          <w:color w:val="auto"/>
          <w:szCs w:val="20"/>
        </w:rPr>
        <w:t>district</w:t>
      </w:r>
      <w:r w:rsidRPr="00A24125">
        <w:rPr>
          <w:rFonts w:eastAsia="Times New Roman" w:cs="Tahoma"/>
          <w:color w:val="000000"/>
          <w:szCs w:val="20"/>
        </w:rPr>
        <w:t xml:space="preserve"> ensures the IEP of each child with a disability includes a statement of measurable annual goals as required by the IDEA and its accompanying federal regulations, state statutes</w:t>
      </w:r>
      <w:r w:rsidRPr="002C7E18">
        <w:rPr>
          <w:rFonts w:eastAsia="Times New Roman" w:cs="Tahoma"/>
          <w:color w:val="000000"/>
          <w:szCs w:val="20"/>
        </w:rPr>
        <w:t xml:space="preserve"> and regulations.  The</w:t>
      </w:r>
      <w:r w:rsidR="00F84B27">
        <w:rPr>
          <w:rFonts w:eastAsia="Times New Roman" w:cs="Tahoma"/>
          <w:color w:val="000000"/>
          <w:szCs w:val="20"/>
        </w:rPr>
        <w:t xml:space="preserve"> </w:t>
      </w:r>
      <w:r w:rsidR="002632BB">
        <w:rPr>
          <w:rFonts w:eastAsia="Times New Roman" w:cs="Tahoma"/>
          <w:color w:val="000000"/>
          <w:szCs w:val="20"/>
        </w:rPr>
        <w:t xml:space="preserve">member </w:t>
      </w:r>
      <w:r w:rsidR="00F84B27">
        <w:rPr>
          <w:rFonts w:eastAsia="Times New Roman" w:cs="Tahoma"/>
          <w:color w:val="000000"/>
          <w:szCs w:val="20"/>
        </w:rPr>
        <w:t xml:space="preserve">district </w:t>
      </w:r>
      <w:r w:rsidRPr="002C7E18">
        <w:rPr>
          <w:rFonts w:eastAsia="Times New Roman" w:cs="Tahoma"/>
          <w:color w:val="000000"/>
          <w:szCs w:val="20"/>
        </w:rPr>
        <w:t xml:space="preserve">further ensures that the IEP of each child with a disability includes a description of how progress will be measured and how reports of progress will be provided as required by the IDEA and its accompanying federal regulations, state statutes </w:t>
      </w:r>
      <w:r w:rsidRPr="00E24459">
        <w:rPr>
          <w:rFonts w:eastAsia="Times New Roman" w:cs="Tahoma"/>
          <w:color w:val="000000"/>
          <w:szCs w:val="20"/>
        </w:rPr>
        <w:t>and regulations.</w:t>
      </w:r>
    </w:p>
    <w:p w:rsidR="00E21132" w:rsidRPr="00E24459" w:rsidRDefault="00E21132" w:rsidP="006E3F0A">
      <w:pPr>
        <w:spacing w:after="0" w:line="240" w:lineRule="auto"/>
        <w:jc w:val="both"/>
        <w:rPr>
          <w:rFonts w:eastAsia="Times New Roman" w:cs="Times New Roman"/>
          <w:color w:val="auto"/>
          <w:szCs w:val="20"/>
        </w:rPr>
      </w:pPr>
    </w:p>
    <w:p w:rsidR="00DB231F" w:rsidRPr="00E24459" w:rsidRDefault="003717A7" w:rsidP="009415A3">
      <w:pPr>
        <w:spacing w:after="0" w:line="240" w:lineRule="auto"/>
        <w:rPr>
          <w:szCs w:val="20"/>
        </w:rPr>
      </w:pPr>
      <w:r>
        <w:rPr>
          <w:szCs w:val="20"/>
        </w:rPr>
        <w:pict>
          <v:rect id="_x0000_i1025" style="width:468pt;height:3pt" o:hralign="center" o:hrstd="t" o:hrnoshade="t" o:hr="t" fillcolor="#0f3966 [3204]" stroked="f"/>
        </w:pict>
      </w:r>
    </w:p>
    <w:p w:rsidR="007B22F5" w:rsidRPr="00E24459" w:rsidRDefault="00A24125" w:rsidP="007B22F5">
      <w:pPr>
        <w:pStyle w:val="NormalWeb"/>
        <w:shd w:val="clear" w:color="auto" w:fill="FFFFFF"/>
        <w:spacing w:before="0" w:beforeAutospacing="0" w:after="0" w:afterAutospacing="0"/>
        <w:rPr>
          <w:rFonts w:ascii="Verdana" w:hAnsi="Verdana" w:cs="Calibri"/>
          <w:iCs/>
          <w:sz w:val="20"/>
          <w:szCs w:val="20"/>
        </w:rPr>
      </w:pPr>
      <w:r w:rsidRPr="00E24459">
        <w:rPr>
          <w:rFonts w:ascii="Verdana" w:hAnsi="Verdana" w:cs="Calibri"/>
          <w:bCs/>
          <w:sz w:val="20"/>
          <w:szCs w:val="20"/>
          <w:u w:val="single"/>
        </w:rPr>
        <w:t>Standards-based IEP Development</w:t>
      </w:r>
      <w:r w:rsidRPr="00E24459">
        <w:rPr>
          <w:rFonts w:ascii="Verdana" w:hAnsi="Verdana" w:cs="Calibri"/>
          <w:sz w:val="20"/>
          <w:szCs w:val="20"/>
        </w:rPr>
        <w:br/>
      </w:r>
      <w:r w:rsidRPr="00E24459">
        <w:rPr>
          <w:rFonts w:ascii="Verdana" w:hAnsi="Verdana" w:cs="Calibri"/>
          <w:iCs/>
          <w:sz w:val="20"/>
          <w:szCs w:val="20"/>
        </w:rPr>
        <w:t>A standards-based IEP is a process in which the IEP team has incorporated state content standards in its development of goals aligned with, and chosen to facilitate the student’s achievement of, state grade-level academic standards. Many of the questions below are the responsibility of the student’s special education teacher(s) in collaboration with the general education teachers.</w:t>
      </w:r>
    </w:p>
    <w:p w:rsidR="00A24125" w:rsidRPr="00E24459" w:rsidRDefault="00A24125" w:rsidP="007B22F5">
      <w:pPr>
        <w:spacing w:after="0" w:line="240" w:lineRule="auto"/>
        <w:rPr>
          <w:rFonts w:cs="Calibri"/>
          <w:iCs/>
          <w:color w:val="auto"/>
          <w:szCs w:val="20"/>
        </w:rPr>
      </w:pPr>
      <w:r w:rsidRPr="00E24459">
        <w:rPr>
          <w:rFonts w:cs="Calibri"/>
          <w:bCs/>
          <w:iCs/>
          <w:color w:val="auto"/>
          <w:szCs w:val="20"/>
          <w:u w:val="single"/>
        </w:rPr>
        <w:t>Steps to Creating a Standards-based IEP</w:t>
      </w:r>
    </w:p>
    <w:p w:rsidR="00A24125" w:rsidRPr="00E24459" w:rsidRDefault="00A24125" w:rsidP="007B22F5">
      <w:pPr>
        <w:pStyle w:val="NormalWeb"/>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(These steps are adapted from the ESC 20 Progress in the General Curriculum Project Materials)</w:t>
      </w:r>
    </w:p>
    <w:p w:rsidR="00A24125" w:rsidRPr="00E24459" w:rsidRDefault="00A24125" w:rsidP="007B22F5">
      <w:pPr>
        <w:pStyle w:val="NormalWeb"/>
        <w:shd w:val="clear" w:color="auto" w:fill="FFFFFF"/>
        <w:spacing w:before="0" w:beforeAutospacing="0" w:after="0" w:afterAutospacing="0"/>
        <w:rPr>
          <w:rFonts w:ascii="Verdana" w:hAnsi="Verdana" w:cs="Calibri"/>
          <w:iCs/>
          <w:sz w:val="20"/>
          <w:szCs w:val="20"/>
        </w:rPr>
      </w:pPr>
      <w:r w:rsidRPr="00E24459">
        <w:rPr>
          <w:rFonts w:ascii="Verdana" w:hAnsi="Verdana" w:cs="Calibri"/>
          <w:bCs/>
          <w:iCs/>
          <w:sz w:val="20"/>
          <w:szCs w:val="20"/>
        </w:rPr>
        <w:t>Step 1: Consider the grade-level content standards for the grade in which the student is enrolled or would be enrolled based on age.</w:t>
      </w:r>
    </w:p>
    <w:p w:rsidR="00A24125" w:rsidRPr="00E24459" w:rsidRDefault="00A24125" w:rsidP="007B22F5">
      <w:pPr>
        <w:pStyle w:val="NormalWeb"/>
        <w:numPr>
          <w:ilvl w:val="0"/>
          <w:numId w:val="23"/>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is the intent of the content standard?</w:t>
      </w:r>
    </w:p>
    <w:p w:rsidR="00A24125" w:rsidRPr="00E24459" w:rsidRDefault="00A24125" w:rsidP="007B22F5">
      <w:pPr>
        <w:pStyle w:val="NormalWeb"/>
        <w:numPr>
          <w:ilvl w:val="0"/>
          <w:numId w:val="23"/>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is the content standard saying that the student must know and be able to do?</w:t>
      </w:r>
    </w:p>
    <w:p w:rsidR="00A24125" w:rsidRPr="00E24459" w:rsidRDefault="00A24125" w:rsidP="007B22F5">
      <w:pPr>
        <w:pStyle w:val="NormalWeb"/>
        <w:shd w:val="clear" w:color="auto" w:fill="FFFFFF"/>
        <w:spacing w:before="0" w:beforeAutospacing="0" w:after="0" w:afterAutospacing="0"/>
        <w:rPr>
          <w:rFonts w:ascii="Verdana" w:hAnsi="Verdana" w:cs="Calibri"/>
          <w:iCs/>
          <w:sz w:val="20"/>
          <w:szCs w:val="20"/>
        </w:rPr>
      </w:pPr>
      <w:r w:rsidRPr="00E24459">
        <w:rPr>
          <w:rFonts w:ascii="Verdana" w:hAnsi="Verdana" w:cs="Calibri"/>
          <w:bCs/>
          <w:iCs/>
          <w:sz w:val="20"/>
          <w:szCs w:val="20"/>
        </w:rPr>
        <w:t>Step 2: Examine classroom and student data to determine where the student is functioning in relation to the grade-level standards.</w:t>
      </w:r>
    </w:p>
    <w:p w:rsidR="00A24125" w:rsidRPr="00E24459" w:rsidRDefault="00A24125" w:rsidP="007B22F5">
      <w:pPr>
        <w:pStyle w:val="NormalWeb"/>
        <w:numPr>
          <w:ilvl w:val="0"/>
          <w:numId w:val="24"/>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Has the student been taught content aligned with grade-level standards?</w:t>
      </w:r>
    </w:p>
    <w:p w:rsidR="00A24125" w:rsidRPr="00E24459" w:rsidRDefault="00A24125" w:rsidP="007B22F5">
      <w:pPr>
        <w:pStyle w:val="NormalWeb"/>
        <w:numPr>
          <w:ilvl w:val="0"/>
          <w:numId w:val="24"/>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Has the student been provided appropriate instructional scaffolding to attain grade-level expectations?</w:t>
      </w:r>
    </w:p>
    <w:p w:rsidR="00A24125" w:rsidRPr="00E24459" w:rsidRDefault="00A24125" w:rsidP="007B22F5">
      <w:pPr>
        <w:pStyle w:val="NormalWeb"/>
        <w:numPr>
          <w:ilvl w:val="0"/>
          <w:numId w:val="24"/>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Were the lessons and teaching materials used to teach the student aligned with state grade-level standards?</w:t>
      </w:r>
    </w:p>
    <w:p w:rsidR="00A24125" w:rsidRPr="00E24459" w:rsidRDefault="00A24125" w:rsidP="007B22F5">
      <w:pPr>
        <w:pStyle w:val="NormalWeb"/>
        <w:numPr>
          <w:ilvl w:val="0"/>
          <w:numId w:val="24"/>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Was the instruction evidence-based?</w:t>
      </w:r>
    </w:p>
    <w:p w:rsidR="00A24125" w:rsidRPr="00E24459" w:rsidRDefault="00A24125" w:rsidP="00A24125">
      <w:pPr>
        <w:pStyle w:val="NormalWeb"/>
        <w:shd w:val="clear" w:color="auto" w:fill="FFFFFF"/>
        <w:spacing w:before="0" w:beforeAutospacing="0" w:after="0" w:afterAutospacing="0"/>
        <w:rPr>
          <w:rFonts w:ascii="Verdana" w:hAnsi="Verdana" w:cs="Calibri"/>
          <w:iCs/>
          <w:sz w:val="20"/>
          <w:szCs w:val="20"/>
        </w:rPr>
      </w:pPr>
      <w:r w:rsidRPr="00E24459">
        <w:rPr>
          <w:rFonts w:ascii="Verdana" w:hAnsi="Verdana" w:cs="Calibri"/>
          <w:bCs/>
          <w:iCs/>
          <w:sz w:val="20"/>
          <w:szCs w:val="20"/>
        </w:rPr>
        <w:t>Step 3: Develop the present level of academic achievement and functional performance.</w:t>
      </w:r>
    </w:p>
    <w:p w:rsidR="00A24125" w:rsidRPr="00E24459" w:rsidRDefault="00A24125" w:rsidP="00A24125">
      <w:pPr>
        <w:pStyle w:val="NormalWeb"/>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u w:val="single"/>
        </w:rPr>
        <w:t>Describe the individual strengths and needs of the student in relation to accessing and mastering the general curriculum. Information should be obtained from general education teachers, parents, and any other service providers.</w:t>
      </w:r>
    </w:p>
    <w:p w:rsidR="00A24125" w:rsidRPr="00E24459" w:rsidRDefault="00A24125" w:rsidP="00A24125">
      <w:pPr>
        <w:pStyle w:val="NormalWeb"/>
        <w:numPr>
          <w:ilvl w:val="0"/>
          <w:numId w:val="25"/>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do we know about the student’s response to academic instruction (e.g., progress monitoring data)?</w:t>
      </w:r>
    </w:p>
    <w:p w:rsidR="00A24125" w:rsidRPr="00E24459" w:rsidRDefault="00A24125" w:rsidP="00A24125">
      <w:pPr>
        <w:pStyle w:val="NormalWeb"/>
        <w:numPr>
          <w:ilvl w:val="0"/>
          <w:numId w:val="25"/>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programs, accommodations (</w:t>
      </w:r>
      <w:r w:rsidR="00B075A6" w:rsidRPr="00E24459">
        <w:rPr>
          <w:rFonts w:ascii="Verdana" w:hAnsi="Verdana" w:cs="Calibri"/>
          <w:iCs/>
          <w:sz w:val="20"/>
          <w:szCs w:val="20"/>
        </w:rPr>
        <w:t>i.e.</w:t>
      </w:r>
      <w:r w:rsidRPr="00E24459">
        <w:rPr>
          <w:rFonts w:ascii="Verdana" w:hAnsi="Verdana" w:cs="Calibri"/>
          <w:iCs/>
          <w:sz w:val="20"/>
          <w:szCs w:val="20"/>
        </w:rPr>
        <w:t>, classroom and testing) and/or interventions have been successful with the student?</w:t>
      </w:r>
    </w:p>
    <w:p w:rsidR="00A24125" w:rsidRPr="00E24459" w:rsidRDefault="00A24125" w:rsidP="00A24125">
      <w:pPr>
        <w:pStyle w:val="NormalWeb"/>
        <w:numPr>
          <w:ilvl w:val="0"/>
          <w:numId w:val="25"/>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have we learned from previous IEPs and student data that can inform decision making?</w:t>
      </w:r>
    </w:p>
    <w:p w:rsidR="00A24125" w:rsidRPr="00E24459" w:rsidRDefault="00A24125" w:rsidP="00A24125">
      <w:pPr>
        <w:pStyle w:val="NormalWeb"/>
        <w:numPr>
          <w:ilvl w:val="0"/>
          <w:numId w:val="25"/>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Are there assessment data (i.e., state, district and/or classroom) that can provide useful information for making decisions about the student’s strengths and needs (e.g., patterns in the data)?</w:t>
      </w:r>
    </w:p>
    <w:p w:rsidR="00A24125" w:rsidRPr="00E24459" w:rsidRDefault="00A24125" w:rsidP="00A24125">
      <w:pPr>
        <w:pStyle w:val="NormalWeb"/>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u w:val="single"/>
        </w:rPr>
        <w:t>Consider the factors related to the student’s disability and how they affect how the student learns and demonstrates what he or she knows.</w:t>
      </w:r>
    </w:p>
    <w:p w:rsidR="00A24125" w:rsidRPr="00E24459" w:rsidRDefault="00A24125" w:rsidP="00A24125">
      <w:pPr>
        <w:pStyle w:val="NormalWeb"/>
        <w:numPr>
          <w:ilvl w:val="0"/>
          <w:numId w:val="26"/>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How does the student’s disability affect participation and progress in the general curriculum?</w:t>
      </w:r>
    </w:p>
    <w:p w:rsidR="00A24125" w:rsidRPr="00E24459" w:rsidRDefault="00A24125" w:rsidP="00A24125">
      <w:pPr>
        <w:pStyle w:val="NormalWeb"/>
        <w:numPr>
          <w:ilvl w:val="0"/>
          <w:numId w:val="26"/>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lastRenderedPageBreak/>
        <w:t>What supports does the student need to learn the knowledge and attain the skills to progress in the general curriculum?</w:t>
      </w:r>
    </w:p>
    <w:p w:rsidR="00A24125" w:rsidRPr="00E24459" w:rsidRDefault="00A24125" w:rsidP="00A24125">
      <w:pPr>
        <w:pStyle w:val="NormalWeb"/>
        <w:numPr>
          <w:ilvl w:val="0"/>
          <w:numId w:val="26"/>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Is the student on track to achieve grade-level proficiency?</w:t>
      </w:r>
    </w:p>
    <w:p w:rsidR="0093463F" w:rsidRPr="00E24459" w:rsidRDefault="00A24125" w:rsidP="0093463F">
      <w:pPr>
        <w:pStyle w:val="NormalWeb"/>
        <w:shd w:val="clear" w:color="auto" w:fill="FFFFFF"/>
        <w:spacing w:before="0" w:beforeAutospacing="0" w:after="0" w:afterAutospacing="0"/>
        <w:rPr>
          <w:rFonts w:ascii="Verdana" w:hAnsi="Verdana" w:cs="Calibri"/>
          <w:sz w:val="20"/>
          <w:szCs w:val="20"/>
        </w:rPr>
      </w:pPr>
      <w:r w:rsidRPr="00E24459">
        <w:rPr>
          <w:rFonts w:ascii="Verdana" w:hAnsi="Verdana" w:cs="Calibri"/>
          <w:bCs/>
          <w:iCs/>
          <w:sz w:val="20"/>
          <w:szCs w:val="20"/>
        </w:rPr>
        <w:t>Step 4: Develop measurable annual goals aligned with grade-level academic content standards.</w:t>
      </w:r>
      <w:r w:rsidR="00304262" w:rsidRPr="00E24459">
        <w:rPr>
          <w:rFonts w:ascii="Verdana" w:hAnsi="Verdana" w:cs="Calibri"/>
          <w:bCs/>
          <w:iCs/>
          <w:sz w:val="20"/>
          <w:szCs w:val="20"/>
        </w:rPr>
        <w:t xml:space="preserve"> </w:t>
      </w:r>
      <w:r w:rsidR="0093463F" w:rsidRPr="00E24459">
        <w:rPr>
          <w:rFonts w:ascii="Verdana" w:hAnsi="Verdana" w:cs="Calibri"/>
          <w:sz w:val="20"/>
          <w:szCs w:val="20"/>
        </w:rPr>
        <w:t>The annual goals should be based on the student’s present levels of academic achievement and functional performance (“PLAAFP”)</w:t>
      </w:r>
      <w:r w:rsidR="00A662E5" w:rsidRPr="00E24459">
        <w:rPr>
          <w:rFonts w:ascii="Verdana" w:hAnsi="Verdana" w:cs="Calibri"/>
          <w:sz w:val="20"/>
          <w:szCs w:val="20"/>
        </w:rPr>
        <w:t>. The ARD Committee will include an annual goal for each subject where the student is removed from the general education setting</w:t>
      </w:r>
    </w:p>
    <w:p w:rsidR="00A24125" w:rsidRPr="00E24459" w:rsidRDefault="00A24125" w:rsidP="0093463F">
      <w:pPr>
        <w:pStyle w:val="NormalWeb"/>
        <w:numPr>
          <w:ilvl w:val="0"/>
          <w:numId w:val="34"/>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are the student’s needs as identified in the present level of performance?</w:t>
      </w:r>
    </w:p>
    <w:p w:rsidR="00A24125" w:rsidRPr="00E24459" w:rsidRDefault="00A24125" w:rsidP="00A24125">
      <w:pPr>
        <w:pStyle w:val="NormalWeb"/>
        <w:numPr>
          <w:ilvl w:val="0"/>
          <w:numId w:val="27"/>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Does the goal have a specific timeframe?</w:t>
      </w:r>
    </w:p>
    <w:p w:rsidR="00A24125" w:rsidRPr="00E24459" w:rsidRDefault="00A24125" w:rsidP="00A24125">
      <w:pPr>
        <w:pStyle w:val="NormalWeb"/>
        <w:numPr>
          <w:ilvl w:val="0"/>
          <w:numId w:val="27"/>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can the student reasonably be expected to accomplish in one school year?</w:t>
      </w:r>
    </w:p>
    <w:p w:rsidR="00A24125" w:rsidRPr="00E24459" w:rsidRDefault="00A24125" w:rsidP="00A24125">
      <w:pPr>
        <w:pStyle w:val="NormalWeb"/>
        <w:numPr>
          <w:ilvl w:val="0"/>
          <w:numId w:val="27"/>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Are the conditions for meeting the goal addressed?</w:t>
      </w:r>
    </w:p>
    <w:p w:rsidR="00A24125" w:rsidRPr="00E24459" w:rsidRDefault="00A24125" w:rsidP="00A24125">
      <w:pPr>
        <w:pStyle w:val="NormalWeb"/>
        <w:numPr>
          <w:ilvl w:val="0"/>
          <w:numId w:val="27"/>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How will the outcome of the goal be measured? Be specific/concrete using measures such as _ </w:t>
      </w:r>
      <w:r w:rsidRPr="00E24459">
        <w:rPr>
          <w:rFonts w:ascii="Verdana" w:hAnsi="Verdana" w:cs="Calibri"/>
          <w:iCs/>
          <w:sz w:val="20"/>
          <w:szCs w:val="20"/>
          <w:u w:val="single"/>
        </w:rPr>
        <w:t>7</w:t>
      </w:r>
      <w:r w:rsidRPr="00E24459">
        <w:rPr>
          <w:rFonts w:ascii="Verdana" w:hAnsi="Verdana" w:cs="Calibri"/>
          <w:iCs/>
          <w:sz w:val="20"/>
          <w:szCs w:val="20"/>
        </w:rPr>
        <w:t> _ of _ </w:t>
      </w:r>
      <w:r w:rsidRPr="00E24459">
        <w:rPr>
          <w:rFonts w:ascii="Verdana" w:hAnsi="Verdana" w:cs="Calibri"/>
          <w:iCs/>
          <w:sz w:val="20"/>
          <w:szCs w:val="20"/>
          <w:u w:val="single"/>
        </w:rPr>
        <w:t>10</w:t>
      </w:r>
      <w:r w:rsidRPr="00E24459">
        <w:rPr>
          <w:rFonts w:ascii="Verdana" w:hAnsi="Verdana" w:cs="Calibri"/>
          <w:iCs/>
          <w:sz w:val="20"/>
          <w:szCs w:val="20"/>
        </w:rPr>
        <w:t> _ trials for mastery.</w:t>
      </w:r>
    </w:p>
    <w:p w:rsidR="00A24125" w:rsidRPr="00E24459" w:rsidRDefault="00A24125" w:rsidP="00A24125">
      <w:pPr>
        <w:pStyle w:val="NormalWeb"/>
        <w:shd w:val="clear" w:color="auto" w:fill="FFFFFF"/>
        <w:spacing w:before="0" w:beforeAutospacing="0" w:after="0" w:afterAutospacing="0"/>
        <w:rPr>
          <w:rFonts w:ascii="Verdana" w:hAnsi="Verdana" w:cs="Calibri"/>
          <w:iCs/>
          <w:sz w:val="20"/>
          <w:szCs w:val="20"/>
        </w:rPr>
      </w:pPr>
      <w:r w:rsidRPr="00E24459">
        <w:rPr>
          <w:rFonts w:ascii="Verdana" w:hAnsi="Verdana" w:cs="Calibri"/>
          <w:bCs/>
          <w:iCs/>
          <w:sz w:val="20"/>
          <w:szCs w:val="20"/>
        </w:rPr>
        <w:t>Step 5: Assess and report the student’s progress throughout the year.</w:t>
      </w:r>
    </w:p>
    <w:p w:rsidR="00A24125" w:rsidRPr="00E24459" w:rsidRDefault="00A24125" w:rsidP="00A24125">
      <w:pPr>
        <w:pStyle w:val="NormalWeb"/>
        <w:numPr>
          <w:ilvl w:val="0"/>
          <w:numId w:val="28"/>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How does the student demonstrate what he/she knows on classroom, district and state assessments?</w:t>
      </w:r>
    </w:p>
    <w:p w:rsidR="00A24125" w:rsidRPr="00E24459" w:rsidRDefault="00A24125" w:rsidP="00A24125">
      <w:pPr>
        <w:pStyle w:val="NormalWeb"/>
        <w:numPr>
          <w:ilvl w:val="0"/>
          <w:numId w:val="28"/>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Are a variety of assessments used to measure progress?</w:t>
      </w:r>
    </w:p>
    <w:p w:rsidR="00A24125" w:rsidRPr="00E24459" w:rsidRDefault="00A24125" w:rsidP="00A24125">
      <w:pPr>
        <w:pStyle w:val="NormalWeb"/>
        <w:numPr>
          <w:ilvl w:val="0"/>
          <w:numId w:val="28"/>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How will progress be reported to parents?</w:t>
      </w:r>
    </w:p>
    <w:p w:rsidR="00A24125" w:rsidRPr="00E24459" w:rsidRDefault="00A24125" w:rsidP="00A24125">
      <w:pPr>
        <w:pStyle w:val="NormalWeb"/>
        <w:shd w:val="clear" w:color="auto" w:fill="FFFFFF"/>
        <w:spacing w:before="0" w:beforeAutospacing="0" w:after="0" w:afterAutospacing="0"/>
        <w:rPr>
          <w:rFonts w:ascii="Verdana" w:hAnsi="Verdana" w:cs="Calibri"/>
          <w:iCs/>
          <w:sz w:val="20"/>
          <w:szCs w:val="20"/>
        </w:rPr>
      </w:pPr>
      <w:r w:rsidRPr="00E24459">
        <w:rPr>
          <w:rFonts w:ascii="Verdana" w:hAnsi="Verdana" w:cs="Calibri"/>
          <w:bCs/>
          <w:iCs/>
          <w:sz w:val="20"/>
          <w:szCs w:val="20"/>
        </w:rPr>
        <w:t>Step 6: Identify specially designed instruction including accommodations and/or modifications needed to access and progress in the general education curriculum.</w:t>
      </w:r>
    </w:p>
    <w:p w:rsidR="00A24125" w:rsidRPr="00E24459" w:rsidRDefault="00A24125" w:rsidP="00A24125">
      <w:pPr>
        <w:pStyle w:val="NormalWeb"/>
        <w:numPr>
          <w:ilvl w:val="0"/>
          <w:numId w:val="29"/>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allowable accommodations are needed to enable the student to access the knowledge in the general education curriculum?</w:t>
      </w:r>
    </w:p>
    <w:p w:rsidR="00A24125" w:rsidRPr="00E24459" w:rsidRDefault="00A24125" w:rsidP="00A24125">
      <w:pPr>
        <w:pStyle w:val="NormalWeb"/>
        <w:numPr>
          <w:ilvl w:val="0"/>
          <w:numId w:val="29"/>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accommodations have been used with the student and were they effective?</w:t>
      </w:r>
    </w:p>
    <w:p w:rsidR="00A24125" w:rsidRPr="00E24459" w:rsidRDefault="00A24125" w:rsidP="00A24125">
      <w:pPr>
        <w:pStyle w:val="NormalWeb"/>
        <w:numPr>
          <w:ilvl w:val="0"/>
          <w:numId w:val="29"/>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Has the complexity of the material changed in such a way that the content has been modified?</w:t>
      </w:r>
    </w:p>
    <w:p w:rsidR="00A24125" w:rsidRPr="00E24459" w:rsidRDefault="00A24125" w:rsidP="00A24125">
      <w:pPr>
        <w:pStyle w:val="NormalWeb"/>
        <w:shd w:val="clear" w:color="auto" w:fill="FFFFFF"/>
        <w:spacing w:before="0" w:beforeAutospacing="0" w:after="0" w:afterAutospacing="0"/>
        <w:rPr>
          <w:rFonts w:ascii="Verdana" w:hAnsi="Verdana" w:cs="Calibri"/>
          <w:iCs/>
          <w:sz w:val="20"/>
          <w:szCs w:val="20"/>
        </w:rPr>
      </w:pPr>
      <w:r w:rsidRPr="00E24459">
        <w:rPr>
          <w:rFonts w:ascii="Verdana" w:hAnsi="Verdana" w:cs="Calibri"/>
          <w:bCs/>
          <w:iCs/>
          <w:sz w:val="20"/>
          <w:szCs w:val="20"/>
        </w:rPr>
        <w:t>Step 7: Determine the most appropriate assessment option.</w:t>
      </w:r>
    </w:p>
    <w:p w:rsidR="00A24125" w:rsidRPr="00E24459" w:rsidRDefault="00A24125" w:rsidP="00A24125">
      <w:pPr>
        <w:pStyle w:val="NormalWeb"/>
        <w:numPr>
          <w:ilvl w:val="0"/>
          <w:numId w:val="30"/>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types of assessments are offered for the grade level? STAAR, etc.</w:t>
      </w:r>
    </w:p>
    <w:p w:rsidR="00A24125" w:rsidRPr="00E24459" w:rsidRDefault="00A24125" w:rsidP="00A24125">
      <w:pPr>
        <w:pStyle w:val="NormalWeb"/>
        <w:numPr>
          <w:ilvl w:val="0"/>
          <w:numId w:val="30"/>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types of responses do different assessments require?</w:t>
      </w:r>
    </w:p>
    <w:p w:rsidR="00A24125" w:rsidRPr="00E24459" w:rsidRDefault="00A24125" w:rsidP="00A24125">
      <w:pPr>
        <w:pStyle w:val="NormalWeb"/>
        <w:numPr>
          <w:ilvl w:val="0"/>
          <w:numId w:val="30"/>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are the administrative conditions of the assessment? (i.e., setting, delivery of instructions, time allotted, etc.)</w:t>
      </w:r>
    </w:p>
    <w:p w:rsidR="00A24125" w:rsidRPr="00E24459" w:rsidRDefault="00A24125" w:rsidP="00A24125">
      <w:pPr>
        <w:pStyle w:val="NormalWeb"/>
        <w:numPr>
          <w:ilvl w:val="0"/>
          <w:numId w:val="30"/>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accommodations are allowed on the assessment(s)?</w:t>
      </w:r>
    </w:p>
    <w:p w:rsidR="00A24125" w:rsidRPr="00E24459" w:rsidRDefault="00A24125" w:rsidP="00A24125">
      <w:pPr>
        <w:pStyle w:val="NormalWeb"/>
        <w:numPr>
          <w:ilvl w:val="0"/>
          <w:numId w:val="30"/>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Are the accommodations approved for the assessment also used in the classroom? They must be or they cannot be allowed on the state assessment.</w:t>
      </w:r>
    </w:p>
    <w:p w:rsidR="00A24125" w:rsidRPr="00E24459" w:rsidRDefault="00A24125" w:rsidP="00A24125">
      <w:pPr>
        <w:pStyle w:val="NormalWeb"/>
        <w:numPr>
          <w:ilvl w:val="0"/>
          <w:numId w:val="30"/>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Has the student received standards-based, grade-level instruction?</w:t>
      </w:r>
    </w:p>
    <w:p w:rsidR="00A24125" w:rsidRPr="00E24459" w:rsidRDefault="00A24125" w:rsidP="00A24125">
      <w:pPr>
        <w:pStyle w:val="NormalWeb"/>
        <w:numPr>
          <w:ilvl w:val="0"/>
          <w:numId w:val="30"/>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Was the instruction evidence based?</w:t>
      </w:r>
    </w:p>
    <w:p w:rsidR="00A24125" w:rsidRPr="00E24459" w:rsidRDefault="00A24125" w:rsidP="00A24125">
      <w:pPr>
        <w:pStyle w:val="NormalWeb"/>
        <w:numPr>
          <w:ilvl w:val="0"/>
          <w:numId w:val="30"/>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is the student’s instructional level?</w:t>
      </w:r>
    </w:p>
    <w:p w:rsidR="00A24125" w:rsidRPr="00E24459" w:rsidRDefault="00A24125" w:rsidP="00A24125">
      <w:pPr>
        <w:pStyle w:val="NormalWeb"/>
        <w:numPr>
          <w:ilvl w:val="0"/>
          <w:numId w:val="30"/>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How different is the student’s instructional level from the level of typical peers?</w:t>
      </w:r>
    </w:p>
    <w:p w:rsidR="00A24125" w:rsidRPr="00E24459" w:rsidRDefault="00A24125" w:rsidP="00A24125">
      <w:pPr>
        <w:pStyle w:val="NormalWeb"/>
        <w:numPr>
          <w:ilvl w:val="0"/>
          <w:numId w:val="30"/>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Can the student make progress toward grade-level standards in the same timeframe as typical peers? (If no, consider modified academic achievement standards)</w:t>
      </w:r>
    </w:p>
    <w:p w:rsidR="00A24125" w:rsidRPr="00E24459" w:rsidRDefault="00A24125" w:rsidP="00A24125">
      <w:pPr>
        <w:pStyle w:val="NormalWeb"/>
        <w:numPr>
          <w:ilvl w:val="0"/>
          <w:numId w:val="30"/>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What can be learned from the student’s previous state assessment results?</w:t>
      </w:r>
    </w:p>
    <w:p w:rsidR="00A24125" w:rsidRPr="00E24459" w:rsidRDefault="00A24125" w:rsidP="00A24125">
      <w:pPr>
        <w:pStyle w:val="NormalWeb"/>
        <w:numPr>
          <w:ilvl w:val="0"/>
          <w:numId w:val="30"/>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Can the student demonstrate what he/she knows on the assessment option under consideration?</w:t>
      </w:r>
    </w:p>
    <w:p w:rsidR="007B22F5" w:rsidRPr="00E24459" w:rsidRDefault="007B22F5" w:rsidP="00403EEF">
      <w:pPr>
        <w:pStyle w:val="Heading4"/>
        <w:shd w:val="clear" w:color="auto" w:fill="FFFFFF"/>
        <w:spacing w:before="0" w:line="360" w:lineRule="atLeast"/>
        <w:rPr>
          <w:rFonts w:ascii="Verdana" w:hAnsi="Verdana" w:cs="Calibri"/>
          <w:i w:val="0"/>
          <w:color w:val="auto"/>
          <w:szCs w:val="20"/>
          <w:u w:val="single"/>
        </w:rPr>
      </w:pPr>
      <w:r w:rsidRPr="00E24459">
        <w:rPr>
          <w:rFonts w:ascii="Verdana" w:hAnsi="Verdana" w:cs="Calibri"/>
          <w:i w:val="0"/>
          <w:color w:val="auto"/>
          <w:szCs w:val="20"/>
          <w:u w:val="single"/>
        </w:rPr>
        <w:t>S</w:t>
      </w:r>
      <w:r w:rsidR="00403EEF" w:rsidRPr="00E24459">
        <w:rPr>
          <w:rFonts w:ascii="Verdana" w:hAnsi="Verdana" w:cs="Calibri"/>
          <w:i w:val="0"/>
          <w:color w:val="auto"/>
          <w:szCs w:val="20"/>
          <w:u w:val="single"/>
        </w:rPr>
        <w:t>pecial Education Teacher/Service Provider Responsibilities</w:t>
      </w:r>
    </w:p>
    <w:p w:rsidR="007B22F5" w:rsidRPr="00E24459" w:rsidRDefault="007B22F5" w:rsidP="007B22F5">
      <w:pPr>
        <w:shd w:val="clear" w:color="auto" w:fill="FFFFFF"/>
        <w:spacing w:after="0" w:line="240" w:lineRule="auto"/>
        <w:rPr>
          <w:rFonts w:eastAsia="Times New Roman" w:cs="Calibri"/>
          <w:iCs/>
          <w:color w:val="auto"/>
          <w:szCs w:val="20"/>
        </w:rPr>
      </w:pPr>
      <w:r w:rsidRPr="00E24459">
        <w:rPr>
          <w:rFonts w:eastAsia="Times New Roman" w:cs="Calibri"/>
          <w:iCs/>
          <w:color w:val="auto"/>
          <w:szCs w:val="20"/>
        </w:rPr>
        <w:t>The special education teacher, speech pathologist, and/or any related service providers are all responsible for the development of appropriate goals and objectives as well as ongoing progress monitoring and documentation.</w:t>
      </w:r>
    </w:p>
    <w:p w:rsidR="007B22F5" w:rsidRPr="00E24459" w:rsidRDefault="007B22F5" w:rsidP="007B22F5">
      <w:pPr>
        <w:shd w:val="clear" w:color="auto" w:fill="FFFFFF"/>
        <w:spacing w:after="0" w:line="240" w:lineRule="auto"/>
        <w:rPr>
          <w:rFonts w:eastAsia="Times New Roman" w:cs="Calibri"/>
          <w:iCs/>
          <w:color w:val="auto"/>
          <w:szCs w:val="20"/>
        </w:rPr>
      </w:pPr>
      <w:r w:rsidRPr="00E24459">
        <w:rPr>
          <w:rFonts w:eastAsia="Times New Roman" w:cs="Calibri"/>
          <w:iCs/>
          <w:color w:val="auto"/>
          <w:szCs w:val="20"/>
        </w:rPr>
        <w:t>The draft of the proposed IEP goals and objectives should be sent home </w:t>
      </w:r>
      <w:r w:rsidRPr="00E24459">
        <w:rPr>
          <w:rFonts w:eastAsia="Times New Roman" w:cs="Calibri"/>
          <w:iCs/>
          <w:color w:val="auto"/>
          <w:szCs w:val="20"/>
          <w:u w:val="single"/>
        </w:rPr>
        <w:t>one week</w:t>
      </w:r>
      <w:r w:rsidRPr="00E24459">
        <w:rPr>
          <w:rFonts w:eastAsia="Times New Roman" w:cs="Calibri"/>
          <w:iCs/>
          <w:color w:val="auto"/>
          <w:szCs w:val="20"/>
        </w:rPr>
        <w:t> prior to the ARD/IEP committee meeting. A note to the parent should accompany the proposed goals and objectives that explains that the document purpose is to plan for the IEP meeting and to request parent input on the goals and objectives.</w:t>
      </w:r>
    </w:p>
    <w:p w:rsidR="007B22F5" w:rsidRPr="00E24459" w:rsidRDefault="00403EEF" w:rsidP="007B22F5">
      <w:pPr>
        <w:shd w:val="clear" w:color="auto" w:fill="FFFFFF"/>
        <w:spacing w:after="0" w:line="240" w:lineRule="auto"/>
        <w:rPr>
          <w:rFonts w:eastAsia="Times New Roman" w:cs="Calibri"/>
          <w:iCs/>
          <w:color w:val="auto"/>
          <w:szCs w:val="20"/>
        </w:rPr>
      </w:pPr>
      <w:r w:rsidRPr="00E24459">
        <w:rPr>
          <w:rFonts w:eastAsia="Times New Roman" w:cs="Calibri"/>
          <w:iCs/>
          <w:color w:val="auto"/>
          <w:szCs w:val="20"/>
        </w:rPr>
        <w:lastRenderedPageBreak/>
        <w:t>S</w:t>
      </w:r>
      <w:r w:rsidR="007B22F5" w:rsidRPr="00E24459">
        <w:rPr>
          <w:rFonts w:eastAsia="Times New Roman" w:cs="Calibri"/>
          <w:iCs/>
          <w:color w:val="auto"/>
          <w:szCs w:val="20"/>
        </w:rPr>
        <w:t>taff will come to the ARD/IEP committee meeting prepared to discuss findings and preliminary recommendations for the IEP.</w:t>
      </w:r>
    </w:p>
    <w:p w:rsidR="007B22F5" w:rsidRPr="00E24459" w:rsidRDefault="007B22F5" w:rsidP="007B22F5">
      <w:pPr>
        <w:shd w:val="clear" w:color="auto" w:fill="FFFFFF"/>
        <w:spacing w:after="0" w:line="240" w:lineRule="auto"/>
        <w:rPr>
          <w:rFonts w:eastAsia="Times New Roman" w:cs="Calibri"/>
          <w:iCs/>
          <w:color w:val="auto"/>
          <w:szCs w:val="20"/>
        </w:rPr>
      </w:pPr>
      <w:r w:rsidRPr="00E24459">
        <w:rPr>
          <w:rFonts w:cs="Calibri"/>
          <w:iCs/>
          <w:color w:val="auto"/>
          <w:szCs w:val="20"/>
        </w:rPr>
        <w:t>The special education teacher responsibilities in the IEP process are to:</w:t>
      </w:r>
    </w:p>
    <w:p w:rsidR="00BA1741" w:rsidRPr="00E24459" w:rsidRDefault="007B22F5" w:rsidP="00BA1741">
      <w:pPr>
        <w:pStyle w:val="NormalWeb"/>
        <w:shd w:val="clear" w:color="auto" w:fill="FFFFFF"/>
        <w:spacing w:before="0" w:beforeAutospacing="0" w:after="0" w:afterAutospacing="0"/>
        <w:rPr>
          <w:rFonts w:ascii="Verdana" w:hAnsi="Verdana" w:cs="Calibri"/>
          <w:sz w:val="20"/>
          <w:szCs w:val="20"/>
        </w:rPr>
      </w:pPr>
      <w:r w:rsidRPr="00E24459">
        <w:rPr>
          <w:rFonts w:ascii="Verdana" w:hAnsi="Verdana" w:cs="Calibri"/>
          <w:iCs/>
          <w:sz w:val="20"/>
          <w:szCs w:val="20"/>
        </w:rPr>
        <w:t xml:space="preserve">1. complete the draft IEP measurable annual goals, based on appropriate evaluation of present levels of </w:t>
      </w:r>
      <w:r w:rsidR="008742C8" w:rsidRPr="00E24459">
        <w:rPr>
          <w:rFonts w:ascii="Verdana" w:hAnsi="Verdana" w:cs="Calibri"/>
          <w:iCs/>
          <w:sz w:val="20"/>
          <w:szCs w:val="20"/>
        </w:rPr>
        <w:t xml:space="preserve">academic achievement and functional </w:t>
      </w:r>
      <w:r w:rsidRPr="00E24459">
        <w:rPr>
          <w:rFonts w:ascii="Verdana" w:hAnsi="Verdana" w:cs="Calibri"/>
          <w:iCs/>
          <w:sz w:val="20"/>
          <w:szCs w:val="20"/>
        </w:rPr>
        <w:t>performance, benchmark testing, previous state testing, etc., selecting a minimum of one goal and two objectives</w:t>
      </w:r>
      <w:r w:rsidR="00550020" w:rsidRPr="00E24459">
        <w:rPr>
          <w:rFonts w:ascii="Verdana" w:hAnsi="Verdana" w:cs="Calibri"/>
          <w:iCs/>
          <w:sz w:val="20"/>
          <w:szCs w:val="20"/>
        </w:rPr>
        <w:t xml:space="preserve"> (when appropriate)</w:t>
      </w:r>
      <w:r w:rsidRPr="00E24459">
        <w:rPr>
          <w:rFonts w:ascii="Verdana" w:hAnsi="Verdana" w:cs="Calibri"/>
          <w:iCs/>
          <w:sz w:val="20"/>
          <w:szCs w:val="20"/>
        </w:rPr>
        <w:t xml:space="preserve"> for each subject or developmental area anticipated; (remember the general education teacher(s) to the extent appropriate, should participate in the development, review, and revision of the student’s IEP)</w:t>
      </w:r>
      <w:r w:rsidR="00BA1741" w:rsidRPr="00E24459">
        <w:rPr>
          <w:rFonts w:ascii="Verdana" w:hAnsi="Verdana" w:cs="Calibri"/>
          <w:iCs/>
          <w:sz w:val="20"/>
          <w:szCs w:val="20"/>
        </w:rPr>
        <w:t xml:space="preserve">. Goals will be developed for each subject where the student is removed from the general education setting. </w:t>
      </w:r>
    </w:p>
    <w:p w:rsidR="007B22F5" w:rsidRPr="00E24459" w:rsidRDefault="00836C75" w:rsidP="007B22F5">
      <w:pPr>
        <w:pStyle w:val="NormalWeb"/>
        <w:shd w:val="clear" w:color="auto" w:fill="FFFFFF"/>
        <w:spacing w:before="0" w:beforeAutospacing="0" w:after="0" w:afterAutospacing="0"/>
        <w:ind w:left="720" w:hanging="360"/>
        <w:rPr>
          <w:rFonts w:ascii="Verdana" w:hAnsi="Verdana" w:cs="Calibri"/>
          <w:iCs/>
          <w:sz w:val="20"/>
          <w:szCs w:val="20"/>
        </w:rPr>
      </w:pPr>
      <w:r w:rsidRPr="00E24459">
        <w:rPr>
          <w:rFonts w:ascii="Verdana" w:hAnsi="Verdana" w:cs="Calibri"/>
          <w:iCs/>
          <w:sz w:val="20"/>
          <w:szCs w:val="20"/>
        </w:rPr>
        <w:t>2</w:t>
      </w:r>
      <w:r w:rsidR="007B22F5" w:rsidRPr="00E24459">
        <w:rPr>
          <w:rFonts w:ascii="Verdana" w:hAnsi="Verdana" w:cs="Calibri"/>
          <w:iCs/>
          <w:sz w:val="20"/>
          <w:szCs w:val="20"/>
        </w:rPr>
        <w:t>. send draft IEP goals/objectives to the parent at least </w:t>
      </w:r>
      <w:r w:rsidR="007B22F5" w:rsidRPr="00E24459">
        <w:rPr>
          <w:rFonts w:ascii="Verdana" w:hAnsi="Verdana" w:cs="Calibri"/>
          <w:iCs/>
          <w:sz w:val="20"/>
          <w:szCs w:val="20"/>
          <w:u w:val="single"/>
        </w:rPr>
        <w:t>one week</w:t>
      </w:r>
      <w:r w:rsidR="007B22F5" w:rsidRPr="00E24459">
        <w:rPr>
          <w:rFonts w:ascii="Verdana" w:hAnsi="Verdana" w:cs="Calibri"/>
          <w:iCs/>
          <w:sz w:val="20"/>
          <w:szCs w:val="20"/>
        </w:rPr>
        <w:t> prior to ARD/IEP meeting;</w:t>
      </w:r>
    </w:p>
    <w:p w:rsidR="007B22F5" w:rsidRPr="00E24459" w:rsidRDefault="00836C75" w:rsidP="007B22F5">
      <w:pPr>
        <w:pStyle w:val="NormalWeb"/>
        <w:shd w:val="clear" w:color="auto" w:fill="FFFFFF"/>
        <w:spacing w:before="0" w:beforeAutospacing="0" w:after="0" w:afterAutospacing="0"/>
        <w:ind w:left="720" w:hanging="360"/>
        <w:rPr>
          <w:rFonts w:ascii="Verdana" w:hAnsi="Verdana" w:cs="Calibri"/>
          <w:iCs/>
          <w:sz w:val="20"/>
          <w:szCs w:val="20"/>
        </w:rPr>
      </w:pPr>
      <w:r w:rsidRPr="00E24459">
        <w:rPr>
          <w:rFonts w:ascii="Verdana" w:hAnsi="Verdana" w:cs="Calibri"/>
          <w:iCs/>
          <w:sz w:val="20"/>
          <w:szCs w:val="20"/>
        </w:rPr>
        <w:t>3</w:t>
      </w:r>
      <w:r w:rsidR="007B22F5" w:rsidRPr="00E24459">
        <w:rPr>
          <w:rFonts w:ascii="Verdana" w:hAnsi="Verdana" w:cs="Calibri"/>
          <w:iCs/>
          <w:sz w:val="20"/>
          <w:szCs w:val="20"/>
        </w:rPr>
        <w:t>. write the date the IEP is accepted by ARD/IEP committee on the IEP.</w:t>
      </w:r>
    </w:p>
    <w:p w:rsidR="007B22F5" w:rsidRPr="00E24459" w:rsidRDefault="00836C75" w:rsidP="007B22F5">
      <w:pPr>
        <w:pStyle w:val="NormalWeb"/>
        <w:shd w:val="clear" w:color="auto" w:fill="FFFFFF"/>
        <w:spacing w:before="0" w:beforeAutospacing="0" w:after="0" w:afterAutospacing="0"/>
        <w:ind w:left="720" w:hanging="360"/>
        <w:rPr>
          <w:rFonts w:ascii="Verdana" w:hAnsi="Verdana" w:cs="Calibri"/>
          <w:iCs/>
          <w:sz w:val="20"/>
          <w:szCs w:val="20"/>
        </w:rPr>
      </w:pPr>
      <w:r w:rsidRPr="00E24459">
        <w:rPr>
          <w:rFonts w:ascii="Verdana" w:hAnsi="Verdana" w:cs="Calibri"/>
          <w:iCs/>
          <w:sz w:val="20"/>
          <w:szCs w:val="20"/>
        </w:rPr>
        <w:t>4</w:t>
      </w:r>
      <w:r w:rsidR="007B22F5" w:rsidRPr="00E24459">
        <w:rPr>
          <w:rFonts w:ascii="Verdana" w:hAnsi="Verdana" w:cs="Calibri"/>
          <w:iCs/>
          <w:sz w:val="20"/>
          <w:szCs w:val="20"/>
        </w:rPr>
        <w:t>. make copies of the accepted IEP goals and objectives.</w:t>
      </w:r>
    </w:p>
    <w:p w:rsidR="007B22F5" w:rsidRPr="00E24459" w:rsidRDefault="007B22F5" w:rsidP="007B22F5">
      <w:pPr>
        <w:pStyle w:val="NormalWeb"/>
        <w:shd w:val="clear" w:color="auto" w:fill="FFFFFF"/>
        <w:spacing w:before="0" w:beforeAutospacing="0" w:after="0" w:afterAutospacing="0"/>
        <w:ind w:left="1080" w:hanging="360"/>
        <w:rPr>
          <w:rFonts w:ascii="Verdana" w:hAnsi="Verdana" w:cs="Calibri"/>
          <w:iCs/>
          <w:sz w:val="20"/>
          <w:szCs w:val="20"/>
        </w:rPr>
      </w:pPr>
      <w:r w:rsidRPr="00E24459">
        <w:rPr>
          <w:rFonts w:ascii="Verdana" w:hAnsi="Verdana" w:cs="Calibri"/>
          <w:iCs/>
          <w:sz w:val="20"/>
          <w:szCs w:val="20"/>
        </w:rPr>
        <w:t>a. One copy is to be filed in the student eligibility folder with the completed ARD/IEP forms, and</w:t>
      </w:r>
    </w:p>
    <w:p w:rsidR="007B22F5" w:rsidRPr="00E24459" w:rsidRDefault="007B22F5" w:rsidP="007B22F5">
      <w:pPr>
        <w:pStyle w:val="NormalWeb"/>
        <w:shd w:val="clear" w:color="auto" w:fill="FFFFFF"/>
        <w:spacing w:before="0" w:beforeAutospacing="0" w:after="0" w:afterAutospacing="0"/>
        <w:ind w:left="1080" w:hanging="360"/>
        <w:rPr>
          <w:rFonts w:ascii="Verdana" w:hAnsi="Verdana" w:cs="Calibri"/>
          <w:iCs/>
          <w:sz w:val="20"/>
          <w:szCs w:val="20"/>
        </w:rPr>
      </w:pPr>
      <w:r w:rsidRPr="00E24459">
        <w:rPr>
          <w:rFonts w:ascii="Verdana" w:hAnsi="Verdana" w:cs="Calibri"/>
          <w:iCs/>
          <w:sz w:val="20"/>
          <w:szCs w:val="20"/>
        </w:rPr>
        <w:t>b. additional copies of the approved IEP will be distributed to the </w:t>
      </w:r>
      <w:r w:rsidRPr="00E24459">
        <w:rPr>
          <w:rFonts w:ascii="Verdana" w:hAnsi="Verdana" w:cs="Calibri"/>
          <w:iCs/>
          <w:sz w:val="20"/>
          <w:szCs w:val="20"/>
          <w:u w:val="single"/>
        </w:rPr>
        <w:t>parent</w:t>
      </w:r>
      <w:r w:rsidRPr="00E24459">
        <w:rPr>
          <w:rFonts w:ascii="Verdana" w:hAnsi="Verdana" w:cs="Calibri"/>
          <w:iCs/>
          <w:sz w:val="20"/>
          <w:szCs w:val="20"/>
        </w:rPr>
        <w:t> and other staff members working with the student.</w:t>
      </w:r>
    </w:p>
    <w:p w:rsidR="007B22F5" w:rsidRPr="00E24459" w:rsidRDefault="007B22F5" w:rsidP="007B22F5">
      <w:pPr>
        <w:pStyle w:val="NormalWeb"/>
        <w:shd w:val="clear" w:color="auto" w:fill="FFFFFF"/>
        <w:spacing w:before="0" w:beforeAutospacing="0" w:after="0" w:afterAutospacing="0"/>
        <w:ind w:left="1440" w:hanging="360"/>
        <w:rPr>
          <w:rFonts w:ascii="Verdana" w:hAnsi="Verdana" w:cs="Calibri"/>
          <w:iCs/>
          <w:sz w:val="20"/>
          <w:szCs w:val="20"/>
        </w:rPr>
      </w:pPr>
      <w:r w:rsidRPr="00E24459">
        <w:rPr>
          <w:rFonts w:ascii="Verdana" w:hAnsi="Verdana" w:cs="Calibri"/>
          <w:iCs/>
          <w:sz w:val="20"/>
          <w:szCs w:val="20"/>
        </w:rPr>
        <w:t>(1) ensure general education teachers have access to relevant portions of the IEP at any time. Explain how to access relevant portions of the IEP such as goals and benchmarks, needed accommodations, behavioral and other supports needed for the list of special education students they instruct. Access to relevant sections may be offered through viewing the special education teachers’ printed copy of the IEP; or viewing the student eligibility folder if located on the campus; or making a copy of the relevant sections of the IEP; or logging into the district IEP system if access is available.</w:t>
      </w:r>
    </w:p>
    <w:p w:rsidR="007B22F5" w:rsidRPr="00E24459" w:rsidRDefault="007B22F5" w:rsidP="007B22F5">
      <w:pPr>
        <w:pStyle w:val="NormalWeb"/>
        <w:shd w:val="clear" w:color="auto" w:fill="FFFFFF"/>
        <w:spacing w:before="0" w:beforeAutospacing="0" w:after="0" w:afterAutospacing="0"/>
        <w:ind w:left="1440" w:hanging="360"/>
        <w:rPr>
          <w:rFonts w:ascii="Verdana" w:hAnsi="Verdana" w:cs="Calibri"/>
          <w:iCs/>
          <w:sz w:val="20"/>
          <w:szCs w:val="20"/>
        </w:rPr>
      </w:pPr>
      <w:r w:rsidRPr="00E24459">
        <w:rPr>
          <w:rFonts w:ascii="Verdana" w:hAnsi="Verdana" w:cs="Calibri"/>
          <w:iCs/>
          <w:sz w:val="20"/>
          <w:szCs w:val="20"/>
        </w:rPr>
        <w:t>(2) In order to document above, obtain signed documentation from the general education teachers that access to relevant portions of the IEP was provided.</w:t>
      </w:r>
    </w:p>
    <w:p w:rsidR="007B22F5" w:rsidRPr="00E24459" w:rsidRDefault="007B22F5" w:rsidP="007B22F5">
      <w:pPr>
        <w:pStyle w:val="NormalWeb"/>
        <w:shd w:val="clear" w:color="auto" w:fill="FFFFFF"/>
        <w:spacing w:before="0" w:beforeAutospacing="0" w:after="0" w:afterAutospacing="0"/>
        <w:ind w:left="1080" w:hanging="360"/>
        <w:rPr>
          <w:rFonts w:ascii="Verdana" w:hAnsi="Verdana" w:cs="Calibri"/>
          <w:iCs/>
          <w:sz w:val="20"/>
          <w:szCs w:val="20"/>
        </w:rPr>
      </w:pPr>
      <w:r w:rsidRPr="00E24459">
        <w:rPr>
          <w:rFonts w:ascii="Verdana" w:hAnsi="Verdana" w:cs="Calibri"/>
          <w:iCs/>
          <w:sz w:val="20"/>
          <w:szCs w:val="20"/>
        </w:rPr>
        <w:t xml:space="preserve">c. </w:t>
      </w:r>
      <w:r w:rsidR="00DB3484" w:rsidRPr="00E24459">
        <w:rPr>
          <w:rFonts w:ascii="Verdana" w:hAnsi="Verdana" w:cs="Calibri"/>
          <w:iCs/>
          <w:sz w:val="20"/>
          <w:szCs w:val="20"/>
        </w:rPr>
        <w:t>assist</w:t>
      </w:r>
      <w:r w:rsidRPr="00E24459">
        <w:rPr>
          <w:rFonts w:ascii="Verdana" w:hAnsi="Verdana" w:cs="Calibri"/>
          <w:iCs/>
          <w:sz w:val="20"/>
          <w:szCs w:val="20"/>
        </w:rPr>
        <w:t xml:space="preserve"> general education teachers who are involved in the student’s instruction to maintain documentation that they are modifying and/or accommodating educational programs of students as specified in the ARD/IEP.</w:t>
      </w:r>
    </w:p>
    <w:p w:rsidR="007B22F5" w:rsidRPr="00E24459" w:rsidRDefault="00836C75" w:rsidP="007B22F5">
      <w:pPr>
        <w:pStyle w:val="NormalWeb"/>
        <w:shd w:val="clear" w:color="auto" w:fill="FFFFFF"/>
        <w:spacing w:before="0" w:beforeAutospacing="0" w:after="0" w:afterAutospacing="0"/>
        <w:ind w:left="720" w:hanging="360"/>
        <w:rPr>
          <w:rFonts w:ascii="Verdana" w:hAnsi="Verdana" w:cs="Calibri"/>
          <w:iCs/>
          <w:sz w:val="20"/>
          <w:szCs w:val="20"/>
        </w:rPr>
      </w:pPr>
      <w:r w:rsidRPr="00E24459">
        <w:rPr>
          <w:rFonts w:ascii="Verdana" w:hAnsi="Verdana" w:cs="Calibri"/>
          <w:iCs/>
          <w:sz w:val="20"/>
          <w:szCs w:val="20"/>
        </w:rPr>
        <w:t>5</w:t>
      </w:r>
      <w:r w:rsidR="007B22F5" w:rsidRPr="00E24459">
        <w:rPr>
          <w:rFonts w:ascii="Verdana" w:hAnsi="Verdana" w:cs="Calibri"/>
          <w:iCs/>
          <w:sz w:val="20"/>
          <w:szCs w:val="20"/>
        </w:rPr>
        <w:t>. The special education teacher’s copy is used to document progress in the same timely manner as students on your campus who are nondisabled. (ex. every 6 weeks).</w:t>
      </w:r>
    </w:p>
    <w:p w:rsidR="00A662E5" w:rsidRPr="00E24459" w:rsidRDefault="00A662E5" w:rsidP="007B22F5">
      <w:pPr>
        <w:pStyle w:val="NormalWeb"/>
        <w:shd w:val="clear" w:color="auto" w:fill="FFFFFF"/>
        <w:spacing w:before="0" w:beforeAutospacing="0" w:after="0" w:afterAutospacing="0"/>
        <w:ind w:left="720" w:hanging="360"/>
        <w:rPr>
          <w:rFonts w:ascii="Verdana" w:hAnsi="Verdana" w:cs="Calibri"/>
          <w:iCs/>
          <w:sz w:val="20"/>
          <w:szCs w:val="20"/>
        </w:rPr>
      </w:pPr>
      <w:r w:rsidRPr="00E24459">
        <w:rPr>
          <w:rFonts w:ascii="Verdana" w:hAnsi="Verdana" w:cs="Calibri"/>
          <w:iCs/>
          <w:sz w:val="20"/>
          <w:szCs w:val="20"/>
        </w:rPr>
        <w:t xml:space="preserve">6. </w:t>
      </w:r>
      <w:r w:rsidRPr="00E24459">
        <w:rPr>
          <w:rFonts w:ascii="Verdana" w:hAnsi="Verdana" w:cs="Calibri"/>
          <w:sz w:val="20"/>
          <w:szCs w:val="20"/>
        </w:rPr>
        <w:t>The special education teacher or general education teacher for a student who is mainstreamed, will collect student data to create progress reports to be sent to the student’s parent.</w:t>
      </w:r>
    </w:p>
    <w:p w:rsidR="00BB1141" w:rsidRPr="00E24459" w:rsidRDefault="00BB1141" w:rsidP="00BB1141">
      <w:pPr>
        <w:pStyle w:val="NormalWeb"/>
        <w:shd w:val="clear" w:color="auto" w:fill="FFFFFF"/>
        <w:spacing w:before="0" w:beforeAutospacing="0" w:after="0" w:afterAutospacing="0"/>
        <w:rPr>
          <w:rFonts w:ascii="Verdana" w:hAnsi="Verdana" w:cs="Calibri"/>
          <w:iCs/>
          <w:sz w:val="20"/>
          <w:szCs w:val="20"/>
          <w:u w:val="single"/>
        </w:rPr>
      </w:pPr>
      <w:r w:rsidRPr="00E24459">
        <w:rPr>
          <w:rFonts w:ascii="Verdana" w:hAnsi="Verdana" w:cs="Calibri"/>
          <w:iCs/>
          <w:sz w:val="20"/>
          <w:szCs w:val="20"/>
          <w:u w:val="single"/>
        </w:rPr>
        <w:t>Staff Development</w:t>
      </w:r>
    </w:p>
    <w:p w:rsidR="00BB1141" w:rsidRPr="00E24459" w:rsidRDefault="00BB1141" w:rsidP="00BB1141">
      <w:pPr>
        <w:pStyle w:val="NormalWeb"/>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Annually the campus Principal will inform the Special Education Director of any request for training that cannot be performed by assigned district special education personnel. Documentation of training will be maintained by the campus principal including:</w:t>
      </w:r>
    </w:p>
    <w:p w:rsidR="00BB1141" w:rsidRPr="00E24459" w:rsidRDefault="00BB1141" w:rsidP="00BB1141">
      <w:pPr>
        <w:pStyle w:val="NormalWeb"/>
        <w:numPr>
          <w:ilvl w:val="0"/>
          <w:numId w:val="33"/>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Agenda with date and</w:t>
      </w:r>
    </w:p>
    <w:p w:rsidR="00BB1141" w:rsidRPr="00E24459" w:rsidRDefault="00BB1141" w:rsidP="00BB1141">
      <w:pPr>
        <w:pStyle w:val="NormalWeb"/>
        <w:numPr>
          <w:ilvl w:val="0"/>
          <w:numId w:val="33"/>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Attendance list</w:t>
      </w:r>
    </w:p>
    <w:p w:rsidR="00BB1141" w:rsidRPr="00E24459" w:rsidRDefault="00BB1141" w:rsidP="00BB1141">
      <w:pPr>
        <w:pStyle w:val="NormalWeb"/>
        <w:numPr>
          <w:ilvl w:val="0"/>
          <w:numId w:val="33"/>
        </w:numPr>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Specialized training required by specific staff for a specific student will be handled individually and documented in the personnel file.</w:t>
      </w:r>
    </w:p>
    <w:p w:rsidR="00FB4F99" w:rsidRDefault="00BB1141" w:rsidP="00BB1141">
      <w:pPr>
        <w:pStyle w:val="NormalWeb"/>
        <w:shd w:val="clear" w:color="auto" w:fill="FFFFFF"/>
        <w:spacing w:before="0" w:beforeAutospacing="0" w:after="0" w:afterAutospacing="0"/>
        <w:rPr>
          <w:rFonts w:ascii="Verdana" w:hAnsi="Verdana" w:cs="Calibri"/>
          <w:iCs/>
          <w:sz w:val="20"/>
          <w:szCs w:val="20"/>
        </w:rPr>
      </w:pPr>
      <w:r w:rsidRPr="00E24459">
        <w:rPr>
          <w:rFonts w:ascii="Verdana" w:hAnsi="Verdana" w:cs="Calibri"/>
          <w:iCs/>
          <w:sz w:val="20"/>
          <w:szCs w:val="20"/>
        </w:rPr>
        <w:t xml:space="preserve">Teachers in the RCSS have access to numerous training opportunities both inside the school district as well as at the Education Service Centers. As part of the decentralized function for Texas, Region 20 ESC is assigned to organize and conduct professional development (iLearning) that will facilitate access to the general curriculum. Three modules include: Early Childhood, Elementary and Secondary. They offer specific trainings and support to assist teachers and administrators with strategies and methods to ensure students with disabilities are not only provided access to the general curriculum, but are making academic progress. </w:t>
      </w:r>
      <w:r w:rsidRPr="00E24459">
        <w:rPr>
          <w:rFonts w:ascii="Verdana" w:hAnsi="Verdana" w:cs="Calibri"/>
          <w:iCs/>
          <w:sz w:val="20"/>
          <w:szCs w:val="20"/>
        </w:rPr>
        <w:lastRenderedPageBreak/>
        <w:t xml:space="preserve">Specific training topics include (but are not limited to): Inclusion, Accommodations &amp;Modifications, Co-Teaching, Differentiated Instruction &amp;Brain Based Learning Strategies, and State </w:t>
      </w:r>
      <w:r w:rsidR="00FB4F99">
        <w:rPr>
          <w:rFonts w:ascii="Verdana" w:hAnsi="Verdana" w:cs="Calibri"/>
          <w:iCs/>
          <w:sz w:val="20"/>
          <w:szCs w:val="20"/>
        </w:rPr>
        <w:t>A</w:t>
      </w:r>
      <w:r w:rsidRPr="00E24459">
        <w:rPr>
          <w:rFonts w:ascii="Verdana" w:hAnsi="Verdana" w:cs="Calibri"/>
          <w:iCs/>
          <w:sz w:val="20"/>
          <w:szCs w:val="20"/>
        </w:rPr>
        <w:t>ssessments.</w:t>
      </w:r>
      <w:r w:rsidR="00FB4F99">
        <w:rPr>
          <w:rFonts w:ascii="Verdana" w:hAnsi="Verdana" w:cs="Calibri"/>
          <w:iCs/>
          <w:sz w:val="20"/>
          <w:szCs w:val="20"/>
        </w:rPr>
        <w:t xml:space="preserve"> </w:t>
      </w:r>
      <w:r w:rsidRPr="00E24459">
        <w:rPr>
          <w:rFonts w:ascii="Verdana" w:hAnsi="Verdana" w:cs="Calibri"/>
          <w:iCs/>
          <w:sz w:val="20"/>
          <w:szCs w:val="20"/>
        </w:rPr>
        <w:t> </w:t>
      </w:r>
    </w:p>
    <w:p w:rsidR="002B18BF" w:rsidRDefault="002B18BF" w:rsidP="009415A3">
      <w:pPr>
        <w:spacing w:after="120" w:line="240" w:lineRule="auto"/>
        <w:rPr>
          <w:b/>
          <w:color w:val="000000" w:themeColor="text1"/>
          <w:szCs w:val="20"/>
        </w:rPr>
      </w:pPr>
    </w:p>
    <w:p w:rsidR="009415A3" w:rsidRPr="00E24459" w:rsidRDefault="006A256D" w:rsidP="009415A3">
      <w:pPr>
        <w:spacing w:after="120" w:line="240" w:lineRule="auto"/>
        <w:rPr>
          <w:color w:val="000000" w:themeColor="text1"/>
          <w:szCs w:val="20"/>
        </w:rPr>
      </w:pPr>
      <w:r>
        <w:rPr>
          <w:b/>
          <w:color w:val="000000" w:themeColor="text1"/>
          <w:szCs w:val="20"/>
        </w:rPr>
        <w:t>Staff Responsible</w:t>
      </w:r>
      <w:r w:rsidR="009415A3" w:rsidRPr="00E24459">
        <w:rPr>
          <w:b/>
          <w:color w:val="000000" w:themeColor="text1"/>
          <w:szCs w:val="20"/>
        </w:rPr>
        <w:t xml:space="preserve">:  </w:t>
      </w:r>
      <w:r w:rsidR="00A24125" w:rsidRPr="00E24459">
        <w:rPr>
          <w:color w:val="000000" w:themeColor="text1"/>
          <w:szCs w:val="20"/>
        </w:rPr>
        <w:t>Special Education Teachers; Related Service Providers; Speech Language Pathologist</w:t>
      </w:r>
      <w:r w:rsidR="00BB1141" w:rsidRPr="00E24459">
        <w:rPr>
          <w:color w:val="000000" w:themeColor="text1"/>
          <w:szCs w:val="20"/>
        </w:rPr>
        <w:t>, Principals, Special Education Director</w:t>
      </w:r>
      <w:r w:rsidR="005805FE" w:rsidRPr="00E24459">
        <w:rPr>
          <w:color w:val="000000" w:themeColor="text1"/>
          <w:szCs w:val="20"/>
        </w:rPr>
        <w:t>, General Education Teachers</w:t>
      </w:r>
    </w:p>
    <w:p w:rsidR="005D502C" w:rsidRPr="00E24459" w:rsidRDefault="009415A3" w:rsidP="005D502C">
      <w:pPr>
        <w:spacing w:after="0" w:line="240" w:lineRule="auto"/>
        <w:rPr>
          <w:b/>
          <w:color w:val="000000" w:themeColor="text1"/>
          <w:szCs w:val="20"/>
        </w:rPr>
      </w:pPr>
      <w:r w:rsidRPr="00E24459">
        <w:rPr>
          <w:b/>
          <w:color w:val="000000" w:themeColor="text1"/>
          <w:szCs w:val="20"/>
        </w:rPr>
        <w:t>T</w:t>
      </w:r>
      <w:r w:rsidR="006A256D">
        <w:rPr>
          <w:b/>
          <w:color w:val="000000" w:themeColor="text1"/>
          <w:szCs w:val="20"/>
        </w:rPr>
        <w:t>imelines</w:t>
      </w:r>
      <w:r w:rsidRPr="00E24459">
        <w:rPr>
          <w:b/>
          <w:color w:val="000000" w:themeColor="text1"/>
          <w:szCs w:val="20"/>
        </w:rPr>
        <w:t xml:space="preserve">:  </w:t>
      </w:r>
    </w:p>
    <w:p w:rsidR="009415A3" w:rsidRPr="00B279B7" w:rsidRDefault="005D502C" w:rsidP="005D502C">
      <w:pPr>
        <w:pStyle w:val="ListParagraph"/>
        <w:numPr>
          <w:ilvl w:val="0"/>
          <w:numId w:val="31"/>
        </w:numPr>
        <w:spacing w:after="120" w:line="240" w:lineRule="auto"/>
        <w:rPr>
          <w:color w:val="000000" w:themeColor="text1"/>
          <w:szCs w:val="20"/>
        </w:rPr>
      </w:pPr>
      <w:r w:rsidRPr="00E24459">
        <w:rPr>
          <w:color w:val="000000" w:themeColor="text1"/>
          <w:szCs w:val="20"/>
        </w:rPr>
        <w:t xml:space="preserve">Draft </w:t>
      </w:r>
      <w:r w:rsidR="00CC3D06" w:rsidRPr="00E24459">
        <w:rPr>
          <w:color w:val="000000" w:themeColor="text1"/>
          <w:szCs w:val="20"/>
        </w:rPr>
        <w:t xml:space="preserve">IEP </w:t>
      </w:r>
      <w:r w:rsidRPr="00E24459">
        <w:rPr>
          <w:color w:val="000000" w:themeColor="text1"/>
          <w:szCs w:val="20"/>
        </w:rPr>
        <w:t>sent to parent one week prior to the meeting</w:t>
      </w:r>
      <w:r w:rsidRPr="00E24459">
        <w:rPr>
          <w:b/>
          <w:color w:val="000000" w:themeColor="text1"/>
          <w:szCs w:val="20"/>
        </w:rPr>
        <w:t xml:space="preserve"> </w:t>
      </w:r>
    </w:p>
    <w:p w:rsidR="00B279B7" w:rsidRDefault="006A256D" w:rsidP="006A256D">
      <w:pPr>
        <w:spacing w:after="0" w:line="240" w:lineRule="auto"/>
        <w:rPr>
          <w:rFonts w:ascii="Calibri" w:hAnsi="Calibri" w:cs="Calibri"/>
          <w:b/>
          <w:color w:val="auto"/>
          <w:sz w:val="24"/>
        </w:rPr>
      </w:pPr>
      <w:r>
        <w:rPr>
          <w:rFonts w:ascii="Calibri" w:hAnsi="Calibri" w:cs="Calibri"/>
          <w:b/>
          <w:color w:val="auto"/>
          <w:sz w:val="24"/>
        </w:rPr>
        <w:t>Evidence of Practice</w:t>
      </w:r>
      <w:r w:rsidR="00B279B7">
        <w:rPr>
          <w:rFonts w:ascii="Calibri" w:hAnsi="Calibri" w:cs="Calibri"/>
          <w:b/>
          <w:color w:val="auto"/>
          <w:sz w:val="24"/>
        </w:rPr>
        <w:t>:</w:t>
      </w:r>
    </w:p>
    <w:p w:rsidR="00B279B7" w:rsidRDefault="00B279B7" w:rsidP="00B279B7">
      <w:pPr>
        <w:pStyle w:val="ListParagraph"/>
        <w:numPr>
          <w:ilvl w:val="0"/>
          <w:numId w:val="31"/>
        </w:numPr>
        <w:spacing w:after="120" w:line="240" w:lineRule="auto"/>
        <w:rPr>
          <w:color w:val="000000" w:themeColor="text1"/>
          <w:szCs w:val="20"/>
        </w:rPr>
      </w:pPr>
      <w:r>
        <w:rPr>
          <w:color w:val="000000" w:themeColor="text1"/>
          <w:szCs w:val="20"/>
        </w:rPr>
        <w:t>Training agend</w:t>
      </w:r>
      <w:r w:rsidR="008B6CF5">
        <w:rPr>
          <w:color w:val="000000" w:themeColor="text1"/>
          <w:szCs w:val="20"/>
        </w:rPr>
        <w:t>a/handouts</w:t>
      </w:r>
    </w:p>
    <w:p w:rsidR="008B6CF5" w:rsidRPr="00B279B7" w:rsidRDefault="008B6CF5" w:rsidP="00B279B7">
      <w:pPr>
        <w:pStyle w:val="ListParagraph"/>
        <w:numPr>
          <w:ilvl w:val="0"/>
          <w:numId w:val="31"/>
        </w:numPr>
        <w:spacing w:after="120" w:line="240" w:lineRule="auto"/>
        <w:rPr>
          <w:color w:val="000000" w:themeColor="text1"/>
          <w:szCs w:val="20"/>
        </w:rPr>
      </w:pPr>
      <w:r>
        <w:rPr>
          <w:color w:val="000000" w:themeColor="text1"/>
          <w:szCs w:val="20"/>
        </w:rPr>
        <w:t xml:space="preserve">Sign in sheets </w:t>
      </w:r>
    </w:p>
    <w:p w:rsidR="009415A3" w:rsidRPr="00E24459" w:rsidRDefault="009415A3" w:rsidP="009415A3">
      <w:pPr>
        <w:spacing w:after="0" w:line="240" w:lineRule="auto"/>
        <w:rPr>
          <w:szCs w:val="20"/>
        </w:rPr>
      </w:pPr>
    </w:p>
    <w:p w:rsidR="00850B01" w:rsidRPr="00E24459" w:rsidRDefault="00850B01" w:rsidP="008B1CE0">
      <w:pPr>
        <w:pStyle w:val="ListNumber"/>
        <w:numPr>
          <w:ilvl w:val="0"/>
          <w:numId w:val="0"/>
        </w:numPr>
        <w:ind w:left="720"/>
        <w:rPr>
          <w:szCs w:val="20"/>
        </w:rPr>
      </w:pPr>
    </w:p>
    <w:sectPr w:rsidR="00850B01" w:rsidRPr="00E24459" w:rsidSect="00A15E59">
      <w:headerReference w:type="even" r:id="rId22"/>
      <w:headerReference w:type="default" r:id="rId23"/>
      <w:footerReference w:type="even" r:id="rId24"/>
      <w:footerReference w:type="default" r:id="rId25"/>
      <w:headerReference w:type="first" r:id="rId26"/>
      <w:footerReference w:type="first" r:id="rId27"/>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7A7" w:rsidRDefault="003717A7">
      <w:pPr>
        <w:spacing w:after="0" w:line="240" w:lineRule="auto"/>
      </w:pPr>
      <w:r>
        <w:separator/>
      </w:r>
    </w:p>
  </w:endnote>
  <w:endnote w:type="continuationSeparator" w:id="0">
    <w:p w:rsidR="003717A7" w:rsidRDefault="0037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FB" w:rsidRDefault="00B27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92"/>
      <w:gridCol w:w="6068"/>
    </w:tblGrid>
    <w:tr w:rsidR="00A15E59" w:rsidRPr="00CD22C5" w:rsidTr="007A30FA">
      <w:trPr>
        <w:jc w:val="center"/>
      </w:trPr>
      <w:tc>
        <w:tcPr>
          <w:tcW w:w="3348" w:type="dxa"/>
          <w:vAlign w:val="center"/>
        </w:tcPr>
        <w:p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C272C0">
            <w:rPr>
              <w:b w:val="0"/>
              <w:sz w:val="16"/>
              <w:szCs w:val="16"/>
            </w:rPr>
            <w:t>Procedures</w:t>
          </w:r>
        </w:p>
      </w:tc>
      <w:tc>
        <w:tcPr>
          <w:tcW w:w="6228" w:type="dxa"/>
          <w:vAlign w:val="center"/>
        </w:tcPr>
        <w:p w:rsidR="00A15E59" w:rsidRPr="009A1B8F" w:rsidRDefault="002C7E18" w:rsidP="002C7E18">
          <w:pPr>
            <w:pStyle w:val="Footer"/>
            <w:tabs>
              <w:tab w:val="left" w:pos="1260"/>
            </w:tabs>
            <w:jc w:val="right"/>
            <w:rPr>
              <w:sz w:val="16"/>
              <w:szCs w:val="16"/>
            </w:rPr>
          </w:pPr>
          <w:r>
            <w:rPr>
              <w:sz w:val="16"/>
              <w:szCs w:val="16"/>
            </w:rPr>
            <w:t>ANNUAL GOALS</w:t>
          </w:r>
        </w:p>
      </w:tc>
    </w:tr>
    <w:tr w:rsidR="00A15E59" w:rsidRPr="00CD22C5" w:rsidTr="007A30FA">
      <w:trPr>
        <w:jc w:val="center"/>
      </w:trPr>
      <w:tc>
        <w:tcPr>
          <w:tcW w:w="3348" w:type="dxa"/>
          <w:vAlign w:val="center"/>
        </w:tcPr>
        <w:p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C16A22" w:rsidRPr="00B277FB">
            <w:rPr>
              <w:b w:val="0"/>
              <w:sz w:val="16"/>
              <w:szCs w:val="16"/>
            </w:rPr>
            <w:t>08/202</w:t>
          </w:r>
          <w:r w:rsidR="00774C85">
            <w:rPr>
              <w:b w:val="0"/>
              <w:sz w:val="16"/>
              <w:szCs w:val="16"/>
            </w:rPr>
            <w:t>5</w:t>
          </w:r>
          <w:bookmarkStart w:id="0" w:name="_GoBack"/>
          <w:bookmarkEnd w:id="0"/>
        </w:p>
      </w:tc>
      <w:tc>
        <w:tcPr>
          <w:tcW w:w="6228" w:type="dxa"/>
          <w:vAlign w:val="center"/>
        </w:tcPr>
        <w:p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46209C">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46209C">
            <w:rPr>
              <w:b w:val="0"/>
              <w:noProof/>
              <w:sz w:val="16"/>
              <w:szCs w:val="16"/>
            </w:rPr>
            <w:t>3</w:t>
          </w:r>
          <w:r w:rsidRPr="00CD22C5">
            <w:rPr>
              <w:b w:val="0"/>
              <w:sz w:val="16"/>
              <w:szCs w:val="16"/>
            </w:rPr>
            <w:fldChar w:fldCharType="end"/>
          </w:r>
        </w:p>
      </w:tc>
    </w:tr>
  </w:tbl>
  <w:p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rsidTr="00CD22C5">
      <w:tc>
        <w:tcPr>
          <w:tcW w:w="4338" w:type="dxa"/>
          <w:vAlign w:val="center"/>
        </w:tcPr>
        <w:p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rsidTr="00CD22C5">
      <w:tc>
        <w:tcPr>
          <w:tcW w:w="4338" w:type="dxa"/>
          <w:vAlign w:val="center"/>
        </w:tcPr>
        <w:p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7A7" w:rsidRDefault="003717A7">
      <w:pPr>
        <w:spacing w:after="0" w:line="240" w:lineRule="auto"/>
      </w:pPr>
      <w:r>
        <w:separator/>
      </w:r>
    </w:p>
  </w:footnote>
  <w:footnote w:type="continuationSeparator" w:id="0">
    <w:p w:rsidR="003717A7" w:rsidRDefault="00371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FB" w:rsidRDefault="00B27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A15E59" w:rsidRPr="00A15E59" w:rsidRDefault="00A15E59" w:rsidP="00A15E59">
          <w:pPr>
            <w:pStyle w:val="Header"/>
            <w:spacing w:before="0"/>
            <w:jc w:val="center"/>
            <w:rPr>
              <w:color w:val="0F3966" w:themeColor="accent1"/>
              <w:sz w:val="24"/>
            </w:rPr>
          </w:pPr>
          <w:r w:rsidRPr="00A15E59">
            <w:rPr>
              <w:sz w:val="24"/>
            </w:rPr>
            <w:t xml:space="preserve">OPERATING </w:t>
          </w:r>
          <w:r w:rsidR="00C272C0">
            <w:rPr>
              <w:sz w:val="24"/>
            </w:rPr>
            <w:t>PROCEDURES</w:t>
          </w:r>
        </w:p>
      </w:tc>
    </w:tr>
    <w:tr w:rsidR="00A15E59" w:rsidRPr="00A15E59"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727C62" w:rsidRPr="00A15E59" w:rsidRDefault="002C7E18" w:rsidP="002C7E18">
          <w:pPr>
            <w:pStyle w:val="Header"/>
            <w:spacing w:before="0"/>
            <w:jc w:val="center"/>
            <w:rPr>
              <w:sz w:val="24"/>
            </w:rPr>
          </w:pPr>
          <w:r>
            <w:rPr>
              <w:sz w:val="24"/>
            </w:rPr>
            <w:t>ANNUAL GOALS</w:t>
          </w:r>
        </w:p>
      </w:tc>
    </w:tr>
    <w:tr w:rsidR="00A15E59" w:rsidRPr="00A15E59"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D23350" w:rsidRPr="00A15E59" w:rsidRDefault="00D23350" w:rsidP="0017202D">
          <w:pPr>
            <w:pStyle w:val="Header"/>
            <w:spacing w:before="0"/>
            <w:jc w:val="left"/>
          </w:pPr>
          <w:r>
            <w:t>Robertson County Special Services</w:t>
          </w:r>
        </w:p>
      </w:tc>
      <w:tc>
        <w:tcPr>
          <w:tcW w:w="1710" w:type="dxa"/>
          <w:vAlign w:val="center"/>
        </w:tcPr>
        <w:p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FB" w:rsidRDefault="00B27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1FB28B0"/>
    <w:multiLevelType w:val="hybridMultilevel"/>
    <w:tmpl w:val="26F6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6243E"/>
    <w:multiLevelType w:val="hybridMultilevel"/>
    <w:tmpl w:val="0F5A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613745"/>
    <w:multiLevelType w:val="multilevel"/>
    <w:tmpl w:val="445E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1EB9553A"/>
    <w:multiLevelType w:val="hybridMultilevel"/>
    <w:tmpl w:val="ACD4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C59F6"/>
    <w:multiLevelType w:val="multilevel"/>
    <w:tmpl w:val="D924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C17307"/>
    <w:multiLevelType w:val="multilevel"/>
    <w:tmpl w:val="649C50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8323E"/>
    <w:multiLevelType w:val="multilevel"/>
    <w:tmpl w:val="6FE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175A7B"/>
    <w:multiLevelType w:val="multilevel"/>
    <w:tmpl w:val="F0A2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67720"/>
    <w:multiLevelType w:val="multilevel"/>
    <w:tmpl w:val="CC04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014D2E"/>
    <w:multiLevelType w:val="multilevel"/>
    <w:tmpl w:val="345E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8B71B6"/>
    <w:multiLevelType w:val="hybridMultilevel"/>
    <w:tmpl w:val="2190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E2B12"/>
    <w:multiLevelType w:val="hybridMultilevel"/>
    <w:tmpl w:val="DB6A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064A7"/>
    <w:multiLevelType w:val="multilevel"/>
    <w:tmpl w:val="5DA0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706D70"/>
    <w:multiLevelType w:val="multilevel"/>
    <w:tmpl w:val="3B8A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2"/>
  </w:num>
  <w:num w:numId="14">
    <w:abstractNumId w:val="29"/>
  </w:num>
  <w:num w:numId="15">
    <w:abstractNumId w:val="21"/>
  </w:num>
  <w:num w:numId="16">
    <w:abstractNumId w:val="18"/>
  </w:num>
  <w:num w:numId="17">
    <w:abstractNumId w:val="10"/>
  </w:num>
  <w:num w:numId="18">
    <w:abstractNumId w:val="23"/>
  </w:num>
  <w:num w:numId="19">
    <w:abstractNumId w:val="14"/>
  </w:num>
  <w:num w:numId="20">
    <w:abstractNumId w:val="30"/>
  </w:num>
  <w:num w:numId="21">
    <w:abstractNumId w:val="25"/>
  </w:num>
  <w:num w:numId="22">
    <w:abstractNumId w:val="9"/>
  </w:num>
  <w:num w:numId="23">
    <w:abstractNumId w:val="16"/>
  </w:num>
  <w:num w:numId="24">
    <w:abstractNumId w:val="20"/>
  </w:num>
  <w:num w:numId="25">
    <w:abstractNumId w:val="22"/>
  </w:num>
  <w:num w:numId="26">
    <w:abstractNumId w:val="28"/>
  </w:num>
  <w:num w:numId="27">
    <w:abstractNumId w:val="24"/>
  </w:num>
  <w:num w:numId="28">
    <w:abstractNumId w:val="13"/>
  </w:num>
  <w:num w:numId="29">
    <w:abstractNumId w:val="19"/>
  </w:num>
  <w:num w:numId="30">
    <w:abstractNumId w:val="27"/>
  </w:num>
  <w:num w:numId="31">
    <w:abstractNumId w:val="26"/>
  </w:num>
  <w:num w:numId="32">
    <w:abstractNumId w:val="17"/>
  </w:num>
  <w:num w:numId="33">
    <w:abstractNumId w:val="1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03325"/>
    <w:rsid w:val="00017EB2"/>
    <w:rsid w:val="00026EFA"/>
    <w:rsid w:val="00027596"/>
    <w:rsid w:val="00027F91"/>
    <w:rsid w:val="000405A7"/>
    <w:rsid w:val="000C084D"/>
    <w:rsid w:val="000C551A"/>
    <w:rsid w:val="0010401E"/>
    <w:rsid w:val="001345E6"/>
    <w:rsid w:val="00140EB8"/>
    <w:rsid w:val="0017202D"/>
    <w:rsid w:val="0018409F"/>
    <w:rsid w:val="001926E0"/>
    <w:rsid w:val="001C6AC8"/>
    <w:rsid w:val="001E4ECB"/>
    <w:rsid w:val="002045E8"/>
    <w:rsid w:val="0020530F"/>
    <w:rsid w:val="002632BB"/>
    <w:rsid w:val="00271990"/>
    <w:rsid w:val="00287E6A"/>
    <w:rsid w:val="002B18BF"/>
    <w:rsid w:val="002C7E18"/>
    <w:rsid w:val="002D0989"/>
    <w:rsid w:val="003009D3"/>
    <w:rsid w:val="00304262"/>
    <w:rsid w:val="00367365"/>
    <w:rsid w:val="003717A7"/>
    <w:rsid w:val="003920EE"/>
    <w:rsid w:val="003C273F"/>
    <w:rsid w:val="003E259F"/>
    <w:rsid w:val="00403EEF"/>
    <w:rsid w:val="00410AF9"/>
    <w:rsid w:val="00425874"/>
    <w:rsid w:val="00426C23"/>
    <w:rsid w:val="00430B5D"/>
    <w:rsid w:val="00435838"/>
    <w:rsid w:val="00452D0C"/>
    <w:rsid w:val="0046209C"/>
    <w:rsid w:val="00462709"/>
    <w:rsid w:val="00470F29"/>
    <w:rsid w:val="004A16E4"/>
    <w:rsid w:val="004C26A1"/>
    <w:rsid w:val="004E2A26"/>
    <w:rsid w:val="004F27C1"/>
    <w:rsid w:val="004F452C"/>
    <w:rsid w:val="004F4DF8"/>
    <w:rsid w:val="00512E3A"/>
    <w:rsid w:val="005450B4"/>
    <w:rsid w:val="00550020"/>
    <w:rsid w:val="005762E6"/>
    <w:rsid w:val="005805FE"/>
    <w:rsid w:val="005B4D80"/>
    <w:rsid w:val="005D11B3"/>
    <w:rsid w:val="005D502C"/>
    <w:rsid w:val="005E2D0E"/>
    <w:rsid w:val="005F25B7"/>
    <w:rsid w:val="00606FFF"/>
    <w:rsid w:val="00633C11"/>
    <w:rsid w:val="006732FD"/>
    <w:rsid w:val="006A256D"/>
    <w:rsid w:val="006B616F"/>
    <w:rsid w:val="006C66C4"/>
    <w:rsid w:val="006E3F0A"/>
    <w:rsid w:val="006E6DA0"/>
    <w:rsid w:val="00727C62"/>
    <w:rsid w:val="00733C2A"/>
    <w:rsid w:val="00774C85"/>
    <w:rsid w:val="007A30FA"/>
    <w:rsid w:val="007B22F5"/>
    <w:rsid w:val="007D1DFC"/>
    <w:rsid w:val="007D5D41"/>
    <w:rsid w:val="008273F5"/>
    <w:rsid w:val="00831F03"/>
    <w:rsid w:val="00836C75"/>
    <w:rsid w:val="00850B01"/>
    <w:rsid w:val="008742C8"/>
    <w:rsid w:val="00884D94"/>
    <w:rsid w:val="00894CA1"/>
    <w:rsid w:val="008B1CE0"/>
    <w:rsid w:val="008B4399"/>
    <w:rsid w:val="008B6CF5"/>
    <w:rsid w:val="008E1425"/>
    <w:rsid w:val="008F480D"/>
    <w:rsid w:val="008F656D"/>
    <w:rsid w:val="00924B11"/>
    <w:rsid w:val="0093463F"/>
    <w:rsid w:val="009415A3"/>
    <w:rsid w:val="00962988"/>
    <w:rsid w:val="00976E6E"/>
    <w:rsid w:val="00980EAE"/>
    <w:rsid w:val="00996831"/>
    <w:rsid w:val="009B3991"/>
    <w:rsid w:val="00A15E59"/>
    <w:rsid w:val="00A24125"/>
    <w:rsid w:val="00A662E5"/>
    <w:rsid w:val="00AA0D55"/>
    <w:rsid w:val="00AF4B0B"/>
    <w:rsid w:val="00B075A6"/>
    <w:rsid w:val="00B277FB"/>
    <w:rsid w:val="00B279B7"/>
    <w:rsid w:val="00B646E5"/>
    <w:rsid w:val="00BA1741"/>
    <w:rsid w:val="00BA78C3"/>
    <w:rsid w:val="00BB1141"/>
    <w:rsid w:val="00BE4D54"/>
    <w:rsid w:val="00BF06FA"/>
    <w:rsid w:val="00C16A22"/>
    <w:rsid w:val="00C24BAB"/>
    <w:rsid w:val="00C2558A"/>
    <w:rsid w:val="00C272C0"/>
    <w:rsid w:val="00C52250"/>
    <w:rsid w:val="00C6562F"/>
    <w:rsid w:val="00C945EB"/>
    <w:rsid w:val="00CA7CD5"/>
    <w:rsid w:val="00CC3D06"/>
    <w:rsid w:val="00CD22C5"/>
    <w:rsid w:val="00CE235D"/>
    <w:rsid w:val="00CE5EEE"/>
    <w:rsid w:val="00CF7CF4"/>
    <w:rsid w:val="00D100AD"/>
    <w:rsid w:val="00D23350"/>
    <w:rsid w:val="00D45E93"/>
    <w:rsid w:val="00D46AB6"/>
    <w:rsid w:val="00D46B8E"/>
    <w:rsid w:val="00D54A17"/>
    <w:rsid w:val="00D63FD3"/>
    <w:rsid w:val="00DB231F"/>
    <w:rsid w:val="00DB3484"/>
    <w:rsid w:val="00DC2979"/>
    <w:rsid w:val="00DF5B9C"/>
    <w:rsid w:val="00E00450"/>
    <w:rsid w:val="00E009AB"/>
    <w:rsid w:val="00E164D4"/>
    <w:rsid w:val="00E20AB4"/>
    <w:rsid w:val="00E21132"/>
    <w:rsid w:val="00E24459"/>
    <w:rsid w:val="00E30FC1"/>
    <w:rsid w:val="00E37D8B"/>
    <w:rsid w:val="00E514A4"/>
    <w:rsid w:val="00E636CC"/>
    <w:rsid w:val="00E705BC"/>
    <w:rsid w:val="00E70C48"/>
    <w:rsid w:val="00E73801"/>
    <w:rsid w:val="00ED5C01"/>
    <w:rsid w:val="00EE1684"/>
    <w:rsid w:val="00EE1F1C"/>
    <w:rsid w:val="00F04CEA"/>
    <w:rsid w:val="00F11CFF"/>
    <w:rsid w:val="00F3292D"/>
    <w:rsid w:val="00F720D6"/>
    <w:rsid w:val="00F84B27"/>
    <w:rsid w:val="00F90F60"/>
    <w:rsid w:val="00FB14D2"/>
    <w:rsid w:val="00FB4F99"/>
    <w:rsid w:val="00FC4DAA"/>
    <w:rsid w:val="00FC6D50"/>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B638E"/>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semiHidden/>
    <w:unhideWhenUsed/>
    <w:qFormat/>
    <w:rsid w:val="00A24125"/>
    <w:pPr>
      <w:keepNext/>
      <w:keepLines/>
      <w:spacing w:before="40" w:after="0"/>
      <w:outlineLvl w:val="3"/>
    </w:pPr>
    <w:rPr>
      <w:rFonts w:asciiTheme="majorHAnsi" w:eastAsiaTheme="majorEastAsia" w:hAnsiTheme="majorHAnsi" w:cstheme="majorBidi"/>
      <w:i/>
      <w:iCs/>
      <w:color w:val="0B2A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 w:type="character" w:customStyle="1" w:styleId="Heading4Char">
    <w:name w:val="Heading 4 Char"/>
    <w:basedOn w:val="DefaultParagraphFont"/>
    <w:link w:val="Heading4"/>
    <w:uiPriority w:val="9"/>
    <w:semiHidden/>
    <w:rsid w:val="00A24125"/>
    <w:rPr>
      <w:rFonts w:asciiTheme="majorHAnsi" w:eastAsiaTheme="majorEastAsia" w:hAnsiTheme="majorHAnsi" w:cstheme="majorBidi"/>
      <w:i/>
      <w:iCs/>
      <w:color w:val="0B2A4C" w:themeColor="accent1" w:themeShade="BF"/>
      <w:sz w:val="20"/>
    </w:rPr>
  </w:style>
  <w:style w:type="paragraph" w:styleId="NormalWeb">
    <w:name w:val="Normal (Web)"/>
    <w:basedOn w:val="Normal"/>
    <w:uiPriority w:val="99"/>
    <w:unhideWhenUsed/>
    <w:rsid w:val="00A24125"/>
    <w:pPr>
      <w:spacing w:before="100" w:beforeAutospacing="1" w:after="100" w:afterAutospacing="1" w:line="240" w:lineRule="auto"/>
    </w:pPr>
    <w:rPr>
      <w:rFonts w:ascii="Times New Roman" w:eastAsia="Times New Roman" w:hAnsi="Times New Roman" w:cs="Times New Roman"/>
      <w:color w:val="auto"/>
      <w:sz w:val="24"/>
    </w:rPr>
  </w:style>
  <w:style w:type="character" w:styleId="UnresolvedMention">
    <w:name w:val="Unresolved Mention"/>
    <w:basedOn w:val="DefaultParagraphFont"/>
    <w:uiPriority w:val="99"/>
    <w:semiHidden/>
    <w:unhideWhenUsed/>
    <w:rsid w:val="00FB4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002288">
      <w:bodyDiv w:val="1"/>
      <w:marLeft w:val="0"/>
      <w:marRight w:val="0"/>
      <w:marTop w:val="0"/>
      <w:marBottom w:val="0"/>
      <w:divBdr>
        <w:top w:val="none" w:sz="0" w:space="0" w:color="auto"/>
        <w:left w:val="none" w:sz="0" w:space="0" w:color="auto"/>
        <w:bottom w:val="none" w:sz="0" w:space="0" w:color="auto"/>
        <w:right w:val="none" w:sz="0" w:space="0" w:color="auto"/>
      </w:divBdr>
    </w:div>
    <w:div w:id="1071467228">
      <w:bodyDiv w:val="1"/>
      <w:marLeft w:val="0"/>
      <w:marRight w:val="0"/>
      <w:marTop w:val="0"/>
      <w:marBottom w:val="0"/>
      <w:divBdr>
        <w:top w:val="none" w:sz="0" w:space="0" w:color="auto"/>
        <w:left w:val="none" w:sz="0" w:space="0" w:color="auto"/>
        <w:bottom w:val="none" w:sz="0" w:space="0" w:color="auto"/>
        <w:right w:val="none" w:sz="0" w:space="0" w:color="auto"/>
      </w:divBdr>
    </w:div>
    <w:div w:id="1358845138">
      <w:bodyDiv w:val="1"/>
      <w:marLeft w:val="0"/>
      <w:marRight w:val="0"/>
      <w:marTop w:val="0"/>
      <w:marBottom w:val="0"/>
      <w:divBdr>
        <w:top w:val="none" w:sz="0" w:space="0" w:color="auto"/>
        <w:left w:val="none" w:sz="0" w:space="0" w:color="auto"/>
        <w:bottom w:val="none" w:sz="0" w:space="0" w:color="auto"/>
        <w:right w:val="none" w:sz="0" w:space="0" w:color="auto"/>
      </w:divBdr>
    </w:div>
    <w:div w:id="1454521304">
      <w:bodyDiv w:val="1"/>
      <w:marLeft w:val="0"/>
      <w:marRight w:val="0"/>
      <w:marTop w:val="0"/>
      <w:marBottom w:val="0"/>
      <w:divBdr>
        <w:top w:val="none" w:sz="0" w:space="0" w:color="auto"/>
        <w:left w:val="none" w:sz="0" w:space="0" w:color="auto"/>
        <w:bottom w:val="none" w:sz="0" w:space="0" w:color="auto"/>
        <w:right w:val="none" w:sz="0" w:space="0" w:color="auto"/>
      </w:divBdr>
    </w:div>
    <w:div w:id="1776054150">
      <w:bodyDiv w:val="1"/>
      <w:marLeft w:val="0"/>
      <w:marRight w:val="0"/>
      <w:marTop w:val="0"/>
      <w:marBottom w:val="0"/>
      <w:divBdr>
        <w:top w:val="none" w:sz="0" w:space="0" w:color="auto"/>
        <w:left w:val="none" w:sz="0" w:space="0" w:color="auto"/>
        <w:bottom w:val="none" w:sz="0" w:space="0" w:color="auto"/>
        <w:right w:val="none" w:sz="0" w:space="0" w:color="auto"/>
      </w:divBdr>
      <w:divsChild>
        <w:div w:id="23212723">
          <w:marLeft w:val="0"/>
          <w:marRight w:val="0"/>
          <w:marTop w:val="0"/>
          <w:marBottom w:val="0"/>
          <w:divBdr>
            <w:top w:val="none" w:sz="0" w:space="0" w:color="auto"/>
            <w:left w:val="none" w:sz="0" w:space="0" w:color="auto"/>
            <w:bottom w:val="none" w:sz="0" w:space="0" w:color="auto"/>
            <w:right w:val="none" w:sz="0" w:space="0" w:color="auto"/>
          </w:divBdr>
          <w:divsChild>
            <w:div w:id="281542739">
              <w:marLeft w:val="0"/>
              <w:marRight w:val="0"/>
              <w:marTop w:val="0"/>
              <w:marBottom w:val="0"/>
              <w:divBdr>
                <w:top w:val="none" w:sz="0" w:space="0" w:color="auto"/>
                <w:left w:val="none" w:sz="0" w:space="0" w:color="auto"/>
                <w:bottom w:val="none" w:sz="0" w:space="0" w:color="auto"/>
                <w:right w:val="none" w:sz="0" w:space="0" w:color="auto"/>
              </w:divBdr>
            </w:div>
          </w:divsChild>
        </w:div>
        <w:div w:id="213351148">
          <w:marLeft w:val="0"/>
          <w:marRight w:val="0"/>
          <w:marTop w:val="0"/>
          <w:marBottom w:val="0"/>
          <w:divBdr>
            <w:top w:val="none" w:sz="0" w:space="0" w:color="auto"/>
            <w:left w:val="none" w:sz="0" w:space="0" w:color="auto"/>
            <w:bottom w:val="none" w:sz="0" w:space="0" w:color="auto"/>
            <w:right w:val="none" w:sz="0" w:space="0" w:color="auto"/>
          </w:divBdr>
          <w:divsChild>
            <w:div w:id="1630479253">
              <w:marLeft w:val="0"/>
              <w:marRight w:val="0"/>
              <w:marTop w:val="0"/>
              <w:marBottom w:val="0"/>
              <w:divBdr>
                <w:top w:val="none" w:sz="0" w:space="0" w:color="auto"/>
                <w:left w:val="none" w:sz="0" w:space="0" w:color="auto"/>
                <w:bottom w:val="none" w:sz="0" w:space="0" w:color="auto"/>
                <w:right w:val="none" w:sz="0" w:space="0" w:color="auto"/>
              </w:divBdr>
            </w:div>
          </w:divsChild>
        </w:div>
        <w:div w:id="94133147">
          <w:marLeft w:val="0"/>
          <w:marRight w:val="0"/>
          <w:marTop w:val="0"/>
          <w:marBottom w:val="0"/>
          <w:divBdr>
            <w:top w:val="none" w:sz="0" w:space="0" w:color="auto"/>
            <w:left w:val="none" w:sz="0" w:space="0" w:color="auto"/>
            <w:bottom w:val="none" w:sz="0" w:space="0" w:color="auto"/>
            <w:right w:val="none" w:sz="0" w:space="0" w:color="auto"/>
          </w:divBdr>
          <w:divsChild>
            <w:div w:id="14343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13&amp;DT=G&amp;LID=en" TargetMode="External"/><Relationship Id="rId13" Type="http://schemas.openxmlformats.org/officeDocument/2006/relationships/hyperlink" Target="http://www2.ed.gov/policy/speced/guid/idea/memosdcltrs/acc-13-008927r-tx-lenz-benchmarks-2-7-14.pdf" TargetMode="External"/><Relationship Id="rId18" Type="http://schemas.openxmlformats.org/officeDocument/2006/relationships/hyperlink" Target="http://www.nasdse.org/Portals/0/SevenStepProcesstoCreatingStandards-basedIEPs.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framework.esc18.net/" TargetMode="External"/><Relationship Id="rId7" Type="http://schemas.openxmlformats.org/officeDocument/2006/relationships/endnotes" Target="endnotes.xml"/><Relationship Id="rId12" Type="http://schemas.openxmlformats.org/officeDocument/2006/relationships/hyperlink" Target="https://www2.ed.gov/policy/speced/guid/idea/memosdcltrs/guidance-on-fape-11-17-2015.pdf" TargetMode="External"/><Relationship Id="rId17" Type="http://schemas.openxmlformats.org/officeDocument/2006/relationships/hyperlink" Target="http://tea.texas.gov/index2.aspx?id=614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tea.texas.gov/index2.aspx?id=2147494485" TargetMode="External"/><Relationship Id="rId20" Type="http://schemas.openxmlformats.org/officeDocument/2006/relationships/hyperlink" Target="http://nasdse.org/DesktopModules/DNNspot-Store/ProductFiles/36_a7f577f4-20c9-40bf-be79-54fb510f754f.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policy/speced/guid/idea/memosdcltrs/guidance-on-fape-11-17-2015.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sc20.net/default.aspx?name=ci_se.agc.OnlineTrainin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2.ed.gov/policy/speced/guid/idea/letters/2007-3/kelly082407iep3q2007.pdf" TargetMode="External"/><Relationship Id="rId19" Type="http://schemas.openxmlformats.org/officeDocument/2006/relationships/hyperlink" Target="http://nasdse.org/DesktopModules/DNNspot-Store/ProductFiles/80_dd3d052a-8b03-495f-a442-50fb9b6b543b.pdf" TargetMode="External"/><Relationship Id="rId4" Type="http://schemas.openxmlformats.org/officeDocument/2006/relationships/settings" Target="settings.xml"/><Relationship Id="rId9" Type="http://schemas.openxmlformats.org/officeDocument/2006/relationships/hyperlink" Target="https://fw.esc18.net/FrameworkAuthoringSystem/Documents/AdditionalResources/OSEP%20Ltr.%20Hayden%2010.3.94.pdf" TargetMode="External"/><Relationship Id="rId14" Type="http://schemas.openxmlformats.org/officeDocument/2006/relationships/hyperlink" Target="https://projects.esc20.net/upload/page/0096/docs/1%20Individualized_Education_Plan_IEP_Q_and_A_2017.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38D03C4-3970-4C48-8CB6-70541764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2858</Words>
  <Characters>16292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54</cp:revision>
  <cp:lastPrinted>2016-03-01T22:06:00Z</cp:lastPrinted>
  <dcterms:created xsi:type="dcterms:W3CDTF">2021-10-14T14:47:00Z</dcterms:created>
  <dcterms:modified xsi:type="dcterms:W3CDTF">2025-10-27T14:50:00Z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