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946A"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0173C1">
          <w:rPr>
            <w:rStyle w:val="Hyperlink"/>
            <w:szCs w:val="20"/>
          </w:rPr>
          <w:t>Closing the Gap</w:t>
        </w:r>
      </w:hyperlink>
      <w:r w:rsidRPr="008E1425">
        <w:rPr>
          <w:color w:val="000000" w:themeColor="text1"/>
          <w:szCs w:val="20"/>
        </w:rPr>
        <w:t xml:space="preserve"> </w:t>
      </w:r>
    </w:p>
    <w:p w14:paraId="4F158CDC"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5E2D0E">
        <w:rPr>
          <w:color w:val="000000" w:themeColor="text1"/>
          <w:szCs w:val="20"/>
        </w:rPr>
        <w:t>Child Find</w:t>
      </w:r>
      <w:r w:rsidR="009415A3">
        <w:rPr>
          <w:color w:val="000099"/>
          <w:szCs w:val="20"/>
        </w:rPr>
        <w:tab/>
      </w:r>
      <w:r w:rsidR="00980EAE">
        <w:rPr>
          <w:color w:val="000000" w:themeColor="text1"/>
          <w:sz w:val="12"/>
          <w:szCs w:val="12"/>
        </w:rPr>
        <w:t xml:space="preserve">Template update </w:t>
      </w:r>
      <w:r w:rsidR="00A878BE">
        <w:rPr>
          <w:color w:val="000000" w:themeColor="text1"/>
          <w:sz w:val="12"/>
          <w:szCs w:val="12"/>
        </w:rPr>
        <w:t>Feb 2018</w:t>
      </w:r>
    </w:p>
    <w:p w14:paraId="08C9B269" w14:textId="77777777" w:rsidR="00D46B8E" w:rsidRDefault="00D46B8E" w:rsidP="00D46B8E">
      <w:pPr>
        <w:spacing w:after="0" w:line="240" w:lineRule="auto"/>
        <w:jc w:val="both"/>
        <w:rPr>
          <w:rFonts w:eastAsia="Times New Roman" w:cs="Times New Roman"/>
          <w:color w:val="auto"/>
          <w:szCs w:val="20"/>
        </w:rPr>
      </w:pPr>
    </w:p>
    <w:p w14:paraId="3CCE1B7E" w14:textId="77777777" w:rsidR="007021EA" w:rsidRPr="007021EA" w:rsidRDefault="007021EA" w:rsidP="007021EA">
      <w:pPr>
        <w:spacing w:after="0" w:line="240" w:lineRule="auto"/>
        <w:jc w:val="both"/>
        <w:rPr>
          <w:rFonts w:eastAsia="Times New Roman" w:cs="Tahoma"/>
          <w:color w:val="000000"/>
          <w:szCs w:val="20"/>
        </w:rPr>
      </w:pPr>
      <w:r w:rsidRPr="007021EA">
        <w:rPr>
          <w:rFonts w:eastAsia="Times New Roman" w:cs="Tahoma"/>
          <w:color w:val="000000"/>
          <w:szCs w:val="20"/>
        </w:rPr>
        <w:t xml:space="preserve">“[Response to Intervention (RtI)] RTI strategies are tools that enable educators to target instructional interventions to children's areas of specific need as soon as those needs become apparent. There are a number of RTI frameworks, and while the Department does not endorse a particular RTI framework, several core characteristics tend to be present in RTI. These characteristic are: (1) high quality, evidence based instruction in general education settings; (2) screening of all students for academic and behavioral problems; (3) two or more levels (sometimes referred to as tiers) of instruction that are progressively more intense and based on the student's response to instruction; and (4) progress monitoring of student performance.” </w:t>
      </w:r>
      <w:hyperlink r:id="rId9" w:history="1">
        <w:r w:rsidRPr="007021EA">
          <w:rPr>
            <w:rStyle w:val="Hyperlink"/>
            <w:rFonts w:eastAsia="Times New Roman" w:cs="Tahoma"/>
            <w:i/>
            <w:szCs w:val="20"/>
          </w:rPr>
          <w:t>OSEP Letter to Dale</w:t>
        </w:r>
        <w:r w:rsidRPr="007021EA">
          <w:rPr>
            <w:rStyle w:val="Hyperlink"/>
            <w:rFonts w:eastAsia="Times New Roman" w:cs="Tahoma"/>
            <w:szCs w:val="20"/>
          </w:rPr>
          <w:t xml:space="preserve"> (November 14, 2012)</w:t>
        </w:r>
      </w:hyperlink>
      <w:r w:rsidRPr="007021EA">
        <w:rPr>
          <w:rFonts w:eastAsia="Times New Roman" w:cs="Tahoma"/>
          <w:color w:val="000000"/>
          <w:szCs w:val="20"/>
        </w:rPr>
        <w:t>.</w:t>
      </w:r>
    </w:p>
    <w:p w14:paraId="4A019733" w14:textId="77777777" w:rsidR="007021EA" w:rsidRPr="007021EA" w:rsidRDefault="007021EA" w:rsidP="007021EA">
      <w:pPr>
        <w:spacing w:after="0" w:line="240" w:lineRule="auto"/>
        <w:jc w:val="both"/>
        <w:rPr>
          <w:rFonts w:eastAsia="Times New Roman" w:cs="Tahoma"/>
          <w:color w:val="000000"/>
          <w:szCs w:val="20"/>
        </w:rPr>
      </w:pPr>
    </w:p>
    <w:p w14:paraId="3A1264FB" w14:textId="77777777" w:rsidR="007021EA" w:rsidRPr="007021EA" w:rsidRDefault="007021EA" w:rsidP="007021EA">
      <w:pPr>
        <w:spacing w:after="0" w:line="240" w:lineRule="auto"/>
        <w:jc w:val="both"/>
        <w:rPr>
          <w:rFonts w:eastAsia="Times New Roman" w:cs="Tahoma"/>
          <w:color w:val="000000"/>
          <w:szCs w:val="20"/>
        </w:rPr>
      </w:pPr>
      <w:r w:rsidRPr="007021EA">
        <w:rPr>
          <w:rFonts w:eastAsia="Times New Roman" w:cs="Tahoma"/>
          <w:color w:val="000000"/>
          <w:szCs w:val="20"/>
        </w:rPr>
        <w:t xml:space="preserve">“Under section 613(f) of the </w:t>
      </w:r>
      <w:r>
        <w:rPr>
          <w:rFonts w:eastAsia="Times New Roman" w:cs="Tahoma"/>
          <w:color w:val="000000"/>
          <w:szCs w:val="20"/>
        </w:rPr>
        <w:t xml:space="preserve">[Individuals with Disabilities Education Act] </w:t>
      </w:r>
      <w:r w:rsidRPr="007021EA">
        <w:rPr>
          <w:rFonts w:eastAsia="Times New Roman" w:cs="Tahoma"/>
          <w:color w:val="000000"/>
          <w:szCs w:val="20"/>
        </w:rPr>
        <w:t xml:space="preserve">IDEA and 34 CFR § 300.226, </w:t>
      </w:r>
      <w:r>
        <w:rPr>
          <w:rFonts w:eastAsia="Times New Roman" w:cs="Tahoma"/>
          <w:color w:val="000000"/>
          <w:szCs w:val="20"/>
        </w:rPr>
        <w:t>[</w:t>
      </w:r>
      <w:r w:rsidRPr="007021EA">
        <w:rPr>
          <w:rFonts w:eastAsia="Times New Roman" w:cs="Tahoma"/>
          <w:color w:val="000000"/>
          <w:szCs w:val="20"/>
        </w:rPr>
        <w:t xml:space="preserve">coordinated early intervening services] CEIS . . . are services provided to students in kindergarten through grade 12 (with a particular emphasis on students in kindergarten through grade three) who are not currently identified as needing special education or related services, but who need additional academic and behavioral supports to succeed in a general education environment. Local educational agencies (LEAs) may use up to 15 percent of their IDEA Part B funds for CEIS. In implementing CEIS, an LEA may carry out activities that include: (1) professional development for teachers and other school staff to enable such personnel to deliver scientifically based academic and behavioral interventions, including scientifically based literacy instruction, and, where appropriate, instruction on the use of adaptive and instructional software; and (2) providing educational and behavioral evaluations, services, and supports, including scientifically based literacy instruction.”  </w:t>
      </w:r>
      <w:hyperlink r:id="rId10" w:history="1">
        <w:r w:rsidRPr="007021EA">
          <w:rPr>
            <w:rStyle w:val="Hyperlink"/>
            <w:rFonts w:eastAsia="Times New Roman" w:cs="Tahoma"/>
            <w:i/>
            <w:szCs w:val="20"/>
          </w:rPr>
          <w:t>OSEP Letter to Dale</w:t>
        </w:r>
        <w:r w:rsidRPr="007021EA">
          <w:rPr>
            <w:rStyle w:val="Hyperlink"/>
            <w:rFonts w:eastAsia="Times New Roman" w:cs="Tahoma"/>
            <w:szCs w:val="20"/>
          </w:rPr>
          <w:t xml:space="preserve"> (November 14, 2012)</w:t>
        </w:r>
      </w:hyperlink>
      <w:r w:rsidRPr="007021EA">
        <w:rPr>
          <w:rFonts w:eastAsia="Times New Roman" w:cs="Tahoma"/>
          <w:color w:val="000000"/>
          <w:szCs w:val="20"/>
        </w:rPr>
        <w:t>.</w:t>
      </w:r>
    </w:p>
    <w:p w14:paraId="6EB8C8C6" w14:textId="77777777" w:rsidR="007021EA" w:rsidRPr="007021EA" w:rsidRDefault="007021EA" w:rsidP="007021EA">
      <w:pPr>
        <w:spacing w:after="0" w:line="240" w:lineRule="auto"/>
        <w:jc w:val="both"/>
        <w:rPr>
          <w:rFonts w:eastAsia="Times New Roman" w:cs="Tahoma"/>
          <w:color w:val="000000"/>
          <w:szCs w:val="20"/>
        </w:rPr>
      </w:pPr>
    </w:p>
    <w:p w14:paraId="41FB3ABB" w14:textId="77777777" w:rsidR="007021EA" w:rsidRPr="007021EA" w:rsidRDefault="007021EA" w:rsidP="007021EA">
      <w:pPr>
        <w:spacing w:after="0" w:line="240" w:lineRule="auto"/>
        <w:jc w:val="both"/>
        <w:rPr>
          <w:rFonts w:eastAsia="Times New Roman" w:cs="Tahoma"/>
          <w:color w:val="000000"/>
          <w:szCs w:val="20"/>
        </w:rPr>
      </w:pPr>
      <w:r w:rsidRPr="007021EA">
        <w:rPr>
          <w:rFonts w:eastAsia="Times New Roman" w:cs="Tahoma"/>
          <w:color w:val="000000"/>
          <w:szCs w:val="20"/>
        </w:rPr>
        <w:t xml:space="preserve">“Tier two activities provide specialized small group instruction for students determined to be at risk for academic and behavioral problems. It would be appropriate to use CEIS funds to support these tier two activities for at-risk, general education students. If students who are receiving special education and related services participate in the small group instruction, it would not be appropriate for CEIS funds to be used for these students as CEIS may not be provided to students that are currently identified as needing special education or related services. Tier three includes specialized individualized instructional or behavioral support for students with intensive needs. As in the case of tier two activities, CEIS funds could be used for activities that support general education students at risk for academic and behavioral problems, but could not be used for students who are receiving special education or related services.”  </w:t>
      </w:r>
      <w:hyperlink r:id="rId11" w:history="1">
        <w:r w:rsidRPr="007021EA">
          <w:rPr>
            <w:rStyle w:val="Hyperlink"/>
            <w:rFonts w:eastAsia="Times New Roman" w:cs="Tahoma"/>
            <w:i/>
            <w:szCs w:val="20"/>
          </w:rPr>
          <w:t>OSEP Letter to Dale</w:t>
        </w:r>
        <w:r w:rsidRPr="007021EA">
          <w:rPr>
            <w:rStyle w:val="Hyperlink"/>
            <w:rFonts w:eastAsia="Times New Roman" w:cs="Tahoma"/>
            <w:szCs w:val="20"/>
          </w:rPr>
          <w:t xml:space="preserve"> (November 14, 2012)</w:t>
        </w:r>
      </w:hyperlink>
      <w:r w:rsidRPr="007021EA">
        <w:rPr>
          <w:rFonts w:eastAsia="Times New Roman" w:cs="Tahoma"/>
          <w:color w:val="000000"/>
          <w:szCs w:val="20"/>
        </w:rPr>
        <w:t>.</w:t>
      </w:r>
    </w:p>
    <w:p w14:paraId="5E08F9DD" w14:textId="77777777" w:rsidR="007021EA" w:rsidRPr="007021EA" w:rsidRDefault="007021EA" w:rsidP="007021EA">
      <w:pPr>
        <w:spacing w:after="0" w:line="240" w:lineRule="auto"/>
        <w:jc w:val="both"/>
        <w:rPr>
          <w:rFonts w:eastAsia="Times New Roman" w:cs="Tahoma"/>
          <w:color w:val="000000"/>
          <w:szCs w:val="20"/>
        </w:rPr>
      </w:pPr>
    </w:p>
    <w:p w14:paraId="19667CA3" w14:textId="77777777" w:rsidR="007021EA" w:rsidRPr="007021EA" w:rsidRDefault="007021EA" w:rsidP="007021EA">
      <w:pPr>
        <w:spacing w:after="0" w:line="240" w:lineRule="auto"/>
        <w:jc w:val="both"/>
        <w:rPr>
          <w:rFonts w:eastAsia="Times New Roman" w:cs="Tahoma"/>
          <w:color w:val="000000"/>
          <w:szCs w:val="20"/>
        </w:rPr>
      </w:pPr>
      <w:r w:rsidRPr="007021EA">
        <w:rPr>
          <w:rFonts w:eastAsia="Times New Roman" w:cs="Tahoma"/>
          <w:color w:val="000000"/>
          <w:szCs w:val="20"/>
        </w:rPr>
        <w:t>“[The U.S. Department of Education does] not believe it is appropriate or necessary to specify how long a child can receive early intervening services before an initial evaluation is conducted. If a child receiving early intervening services is suspected of having a disability, the LEA must conduct a full and individual evaluation in accordance with §§ 300.301, 300.304 and 300.305 to determine if the child is a child with a disability and needs special education and related services.”  71 Fed. Reg. 46626 (August 14, 2006).</w:t>
      </w:r>
    </w:p>
    <w:p w14:paraId="0BC83B88" w14:textId="77777777" w:rsidR="007021EA" w:rsidRPr="007021EA" w:rsidRDefault="007021EA" w:rsidP="007021EA">
      <w:pPr>
        <w:spacing w:after="0" w:line="240" w:lineRule="auto"/>
        <w:jc w:val="both"/>
        <w:rPr>
          <w:rFonts w:eastAsia="Times New Roman" w:cs="Tahoma"/>
          <w:color w:val="000000"/>
          <w:szCs w:val="20"/>
        </w:rPr>
      </w:pPr>
    </w:p>
    <w:p w14:paraId="1BA07A5E" w14:textId="77777777" w:rsidR="007021EA" w:rsidRDefault="007021EA" w:rsidP="007021EA">
      <w:pPr>
        <w:spacing w:after="0" w:line="240" w:lineRule="auto"/>
        <w:jc w:val="both"/>
        <w:rPr>
          <w:rFonts w:eastAsia="Times New Roman" w:cs="Tahoma"/>
          <w:b/>
          <w:color w:val="000000"/>
          <w:szCs w:val="20"/>
          <w:u w:val="single"/>
        </w:rPr>
      </w:pPr>
      <w:r w:rsidRPr="007021EA">
        <w:rPr>
          <w:rFonts w:eastAsia="Times New Roman" w:cs="Tahoma"/>
          <w:b/>
          <w:color w:val="000000"/>
          <w:szCs w:val="20"/>
          <w:u w:val="single"/>
        </w:rPr>
        <w:t>Application Guidance</w:t>
      </w:r>
    </w:p>
    <w:p w14:paraId="76833732" w14:textId="77777777" w:rsidR="007021EA" w:rsidRPr="007021EA" w:rsidRDefault="007021EA" w:rsidP="007021EA">
      <w:pPr>
        <w:spacing w:after="0" w:line="240" w:lineRule="auto"/>
        <w:jc w:val="both"/>
        <w:rPr>
          <w:rFonts w:eastAsia="Times New Roman" w:cs="Tahoma"/>
          <w:color w:val="000000"/>
          <w:szCs w:val="20"/>
        </w:rPr>
      </w:pPr>
    </w:p>
    <w:p w14:paraId="22E96B35" w14:textId="77777777" w:rsidR="007021EA" w:rsidRPr="007021EA" w:rsidRDefault="00B51928" w:rsidP="007021EA">
      <w:pPr>
        <w:numPr>
          <w:ilvl w:val="0"/>
          <w:numId w:val="22"/>
        </w:numPr>
        <w:spacing w:after="0" w:line="240" w:lineRule="auto"/>
        <w:jc w:val="both"/>
        <w:rPr>
          <w:rFonts w:eastAsia="Times New Roman" w:cs="Tahoma"/>
          <w:color w:val="000000"/>
          <w:szCs w:val="20"/>
        </w:rPr>
      </w:pPr>
      <w:hyperlink r:id="rId12" w:history="1">
        <w:r w:rsidR="007021EA" w:rsidRPr="007021EA">
          <w:rPr>
            <w:rStyle w:val="Hyperlink"/>
            <w:rFonts w:eastAsia="Times New Roman" w:cs="Tahoma"/>
            <w:szCs w:val="20"/>
          </w:rPr>
          <w:t>Requirements of Coordinated Early Intervening Services</w:t>
        </w:r>
      </w:hyperlink>
      <w:r w:rsidR="007021EA" w:rsidRPr="00170756">
        <w:rPr>
          <w:rFonts w:eastAsia="Times New Roman" w:cs="Tahoma"/>
          <w:color w:val="000000"/>
          <w:szCs w:val="20"/>
        </w:rPr>
        <w:t xml:space="preserve"> (TEA)</w:t>
      </w:r>
    </w:p>
    <w:p w14:paraId="6FC29569" w14:textId="77777777" w:rsidR="007021EA" w:rsidRPr="007021EA" w:rsidRDefault="00B51928" w:rsidP="007021EA">
      <w:pPr>
        <w:numPr>
          <w:ilvl w:val="0"/>
          <w:numId w:val="22"/>
        </w:numPr>
        <w:spacing w:after="0" w:line="240" w:lineRule="auto"/>
        <w:jc w:val="both"/>
        <w:rPr>
          <w:rFonts w:eastAsia="Times New Roman" w:cs="Tahoma"/>
          <w:color w:val="000000"/>
          <w:szCs w:val="20"/>
        </w:rPr>
      </w:pPr>
      <w:hyperlink r:id="rId13" w:history="1">
        <w:r w:rsidR="007021EA" w:rsidRPr="007021EA">
          <w:rPr>
            <w:rStyle w:val="Hyperlink"/>
            <w:rFonts w:eastAsia="Times New Roman" w:cs="Tahoma"/>
            <w:szCs w:val="20"/>
          </w:rPr>
          <w:t xml:space="preserve">Transitioning to </w:t>
        </w:r>
        <w:proofErr w:type="gramStart"/>
        <w:r w:rsidR="007021EA" w:rsidRPr="007021EA">
          <w:rPr>
            <w:rStyle w:val="Hyperlink"/>
            <w:rFonts w:eastAsia="Times New Roman" w:cs="Tahoma"/>
            <w:szCs w:val="20"/>
          </w:rPr>
          <w:t>the Every</w:t>
        </w:r>
        <w:proofErr w:type="gramEnd"/>
        <w:r w:rsidR="007021EA" w:rsidRPr="007021EA">
          <w:rPr>
            <w:rStyle w:val="Hyperlink"/>
            <w:rFonts w:eastAsia="Times New Roman" w:cs="Tahoma"/>
            <w:szCs w:val="20"/>
          </w:rPr>
          <w:t xml:space="preserve"> Student Succeeds Act (ESSA) Frequently Asked Questions (FAQs)</w:t>
        </w:r>
      </w:hyperlink>
      <w:r w:rsidR="007021EA" w:rsidRPr="00170756">
        <w:rPr>
          <w:rFonts w:eastAsia="Times New Roman" w:cs="Tahoma"/>
          <w:color w:val="000000"/>
          <w:szCs w:val="20"/>
        </w:rPr>
        <w:t xml:space="preserve"> (USDE)</w:t>
      </w:r>
      <w:r w:rsidR="007021EA" w:rsidRPr="007021EA">
        <w:rPr>
          <w:rFonts w:eastAsia="Times New Roman" w:cs="Tahoma"/>
          <w:color w:val="000000"/>
          <w:szCs w:val="20"/>
        </w:rPr>
        <w:t xml:space="preserve"> </w:t>
      </w:r>
    </w:p>
    <w:p w14:paraId="16EAD016" w14:textId="77777777" w:rsidR="007021EA" w:rsidRPr="007021EA" w:rsidRDefault="00B51928" w:rsidP="007021EA">
      <w:pPr>
        <w:numPr>
          <w:ilvl w:val="0"/>
          <w:numId w:val="22"/>
        </w:numPr>
        <w:spacing w:after="0" w:line="240" w:lineRule="auto"/>
        <w:jc w:val="both"/>
        <w:rPr>
          <w:rFonts w:eastAsia="Times New Roman" w:cs="Tahoma"/>
          <w:color w:val="000000"/>
          <w:szCs w:val="20"/>
          <w:u w:val="single"/>
        </w:rPr>
      </w:pPr>
      <w:hyperlink r:id="rId14" w:history="1">
        <w:r w:rsidR="007021EA" w:rsidRPr="007021EA">
          <w:rPr>
            <w:rStyle w:val="Hyperlink"/>
            <w:rFonts w:eastAsia="Times New Roman" w:cs="Tahoma"/>
            <w:szCs w:val="20"/>
          </w:rPr>
          <w:t>RTI/EIS (Leadership 2006)</w:t>
        </w:r>
      </w:hyperlink>
      <w:r w:rsidR="007021EA" w:rsidRPr="00E13668">
        <w:rPr>
          <w:rFonts w:eastAsia="Times New Roman" w:cs="Tahoma"/>
          <w:color w:val="000000"/>
          <w:szCs w:val="20"/>
        </w:rPr>
        <w:t xml:space="preserve"> (USDE)</w:t>
      </w:r>
    </w:p>
    <w:p w14:paraId="493DA80B" w14:textId="77777777" w:rsidR="007021EA" w:rsidRPr="007021EA" w:rsidRDefault="007021EA" w:rsidP="007021EA">
      <w:pPr>
        <w:spacing w:after="0" w:line="240" w:lineRule="auto"/>
        <w:jc w:val="both"/>
        <w:rPr>
          <w:rFonts w:eastAsia="Times New Roman" w:cs="Tahoma"/>
          <w:color w:val="000000"/>
          <w:szCs w:val="20"/>
        </w:rPr>
      </w:pPr>
    </w:p>
    <w:p w14:paraId="5D6495D8" w14:textId="1FC9AEA6" w:rsidR="007021EA" w:rsidRPr="007021EA" w:rsidRDefault="007021EA" w:rsidP="007021EA">
      <w:pPr>
        <w:spacing w:after="0" w:line="240" w:lineRule="auto"/>
        <w:jc w:val="both"/>
        <w:rPr>
          <w:rFonts w:eastAsia="Times New Roman" w:cs="Tahoma"/>
          <w:color w:val="000000"/>
          <w:szCs w:val="20"/>
        </w:rPr>
      </w:pPr>
      <w:r w:rsidRPr="007021EA">
        <w:rPr>
          <w:rFonts w:eastAsia="Times New Roman" w:cs="Tahoma"/>
          <w:color w:val="000000"/>
          <w:szCs w:val="20"/>
        </w:rPr>
        <w:t>Through the implementation of the</w:t>
      </w:r>
      <w:r w:rsidR="00AE7496">
        <w:rPr>
          <w:rFonts w:eastAsia="Times New Roman" w:cs="Tahoma"/>
          <w:color w:val="000000"/>
          <w:szCs w:val="20"/>
        </w:rPr>
        <w:t xml:space="preserve"> </w:t>
      </w:r>
      <w:r w:rsidR="003850E5">
        <w:rPr>
          <w:rFonts w:eastAsia="Times New Roman" w:cs="Tahoma"/>
          <w:color w:val="000000"/>
          <w:szCs w:val="20"/>
        </w:rPr>
        <w:t xml:space="preserve">member </w:t>
      </w:r>
      <w:r w:rsidR="00AE7496">
        <w:rPr>
          <w:rFonts w:eastAsia="Times New Roman" w:cs="Tahoma"/>
          <w:color w:val="000000"/>
          <w:szCs w:val="20"/>
        </w:rPr>
        <w:t>district</w:t>
      </w:r>
      <w:r w:rsidRPr="00523478">
        <w:rPr>
          <w:rFonts w:eastAsia="Times New Roman" w:cs="Tahoma"/>
          <w:color w:val="000000"/>
          <w:szCs w:val="20"/>
        </w:rPr>
        <w:t xml:space="preserve"> policies and procedures as outlined in the </w:t>
      </w:r>
      <w:hyperlink r:id="rId15" w:history="1">
        <w:r w:rsidRPr="00523478">
          <w:rPr>
            <w:rStyle w:val="Hyperlink"/>
            <w:rFonts w:eastAsia="Times New Roman" w:cs="Times New Roman"/>
            <w:szCs w:val="20"/>
          </w:rPr>
          <w:t>Legal Framework</w:t>
        </w:r>
      </w:hyperlink>
      <w:r w:rsidRPr="00523478">
        <w:rPr>
          <w:rFonts w:eastAsia="Times New Roman" w:cs="Tahoma"/>
          <w:color w:val="000000"/>
          <w:szCs w:val="20"/>
        </w:rPr>
        <w:t xml:space="preserve"> for the Child-Centered Special Education Process, </w:t>
      </w:r>
      <w:r w:rsidR="00C24881">
        <w:rPr>
          <w:rFonts w:eastAsia="Times New Roman" w:cs="Tahoma"/>
          <w:color w:val="000000"/>
          <w:szCs w:val="20"/>
        </w:rPr>
        <w:t xml:space="preserve">the </w:t>
      </w:r>
      <w:r w:rsidR="003850E5">
        <w:rPr>
          <w:rFonts w:eastAsia="Times New Roman" w:cs="Tahoma"/>
          <w:color w:val="000000"/>
          <w:szCs w:val="20"/>
        </w:rPr>
        <w:t xml:space="preserve">member </w:t>
      </w:r>
      <w:r w:rsidR="00AE7496">
        <w:rPr>
          <w:rFonts w:eastAsia="Times New Roman" w:cs="Times New Roman"/>
          <w:color w:val="auto"/>
          <w:szCs w:val="20"/>
        </w:rPr>
        <w:t>district</w:t>
      </w:r>
      <w:r w:rsidRPr="00523478">
        <w:rPr>
          <w:rFonts w:eastAsia="Times New Roman" w:cs="Tahoma"/>
          <w:color w:val="000000"/>
          <w:szCs w:val="20"/>
        </w:rPr>
        <w:t xml:space="preserve"> ensures parent participation in </w:t>
      </w:r>
      <w:r w:rsidR="00E414F9" w:rsidRPr="00523478">
        <w:rPr>
          <w:rFonts w:eastAsia="Times New Roman" w:cs="Tahoma"/>
          <w:color w:val="000000"/>
          <w:szCs w:val="20"/>
        </w:rPr>
        <w:t>admission, review, and dismissal (</w:t>
      </w:r>
      <w:r w:rsidRPr="00523478">
        <w:rPr>
          <w:rFonts w:eastAsia="Times New Roman" w:cs="Tahoma"/>
          <w:color w:val="000000"/>
          <w:szCs w:val="20"/>
        </w:rPr>
        <w:t>ARD</w:t>
      </w:r>
      <w:r w:rsidR="00E414F9" w:rsidRPr="00523478">
        <w:rPr>
          <w:rFonts w:eastAsia="Times New Roman" w:cs="Tahoma"/>
          <w:color w:val="000000"/>
          <w:szCs w:val="20"/>
        </w:rPr>
        <w:t>)</w:t>
      </w:r>
      <w:r w:rsidRPr="00523478">
        <w:rPr>
          <w:rFonts w:eastAsia="Times New Roman" w:cs="Tahoma"/>
          <w:color w:val="000000"/>
          <w:szCs w:val="20"/>
        </w:rPr>
        <w:t xml:space="preserve"> committee meetings</w:t>
      </w:r>
      <w:r w:rsidRPr="007021EA">
        <w:rPr>
          <w:rFonts w:eastAsia="Times New Roman" w:cs="Tahoma"/>
          <w:color w:val="000000"/>
          <w:szCs w:val="20"/>
        </w:rPr>
        <w:t xml:space="preserve"> as required by the IDEA and its accompanying federal regulations, state statutes and regulations.</w:t>
      </w:r>
    </w:p>
    <w:p w14:paraId="76D5763A" w14:textId="77777777" w:rsidR="00E21132" w:rsidRPr="002045E8" w:rsidRDefault="00E21132" w:rsidP="006E3F0A">
      <w:pPr>
        <w:spacing w:after="0" w:line="240" w:lineRule="auto"/>
        <w:jc w:val="both"/>
        <w:rPr>
          <w:rFonts w:eastAsia="Times New Roman" w:cs="Times New Roman"/>
          <w:color w:val="auto"/>
          <w:szCs w:val="20"/>
        </w:rPr>
      </w:pPr>
    </w:p>
    <w:p w14:paraId="76258B73" w14:textId="77777777" w:rsidR="00DB231F" w:rsidRDefault="00B51928" w:rsidP="009415A3">
      <w:pPr>
        <w:spacing w:after="0" w:line="240" w:lineRule="auto"/>
        <w:rPr>
          <w:szCs w:val="20"/>
        </w:rPr>
      </w:pPr>
      <w:r>
        <w:rPr>
          <w:szCs w:val="20"/>
        </w:rPr>
        <w:pict w14:anchorId="25F5D85C">
          <v:rect id="_x0000_i1025" style="width:468pt;height:3pt" o:hralign="center" o:hrstd="t" o:hrnoshade="t" o:hr="t" fillcolor="#0f3966 [3204]" stroked="f"/>
        </w:pict>
      </w:r>
    </w:p>
    <w:p w14:paraId="06DD505C" w14:textId="4B6AE961" w:rsidR="001038D9" w:rsidRPr="00CA35DD" w:rsidRDefault="002C59FD" w:rsidP="001038D9">
      <w:pPr>
        <w:spacing w:after="0" w:line="240" w:lineRule="auto"/>
        <w:rPr>
          <w:rFonts w:cs="Calibri"/>
          <w:color w:val="auto"/>
          <w:szCs w:val="20"/>
        </w:rPr>
      </w:pPr>
      <w:r w:rsidRPr="00CA35DD">
        <w:rPr>
          <w:rFonts w:cs="Calibri"/>
          <w:color w:val="auto"/>
          <w:szCs w:val="20"/>
        </w:rPr>
        <w:t>Member districts</w:t>
      </w:r>
      <w:r w:rsidR="001038D9" w:rsidRPr="00CA35DD">
        <w:rPr>
          <w:rFonts w:cs="Calibri"/>
          <w:color w:val="auto"/>
          <w:szCs w:val="20"/>
        </w:rPr>
        <w:t xml:space="preserve"> are responsible for implementing multi-tiered intervention services.</w:t>
      </w:r>
    </w:p>
    <w:p w14:paraId="708B2ACC" w14:textId="406DC9F2" w:rsidR="00850B01" w:rsidRPr="00CA35DD" w:rsidRDefault="000845BD" w:rsidP="00850B01">
      <w:pPr>
        <w:spacing w:after="0" w:line="240" w:lineRule="auto"/>
        <w:rPr>
          <w:rFonts w:cs="Calibri"/>
          <w:iCs/>
          <w:color w:val="auto"/>
          <w:szCs w:val="20"/>
          <w:shd w:val="clear" w:color="auto" w:fill="FFFFFF"/>
        </w:rPr>
      </w:pPr>
      <w:r w:rsidRPr="00CA35DD">
        <w:rPr>
          <w:rFonts w:cs="Calibri"/>
          <w:iCs/>
          <w:color w:val="auto"/>
          <w:szCs w:val="20"/>
          <w:shd w:val="clear" w:color="auto" w:fill="FFFFFF"/>
        </w:rPr>
        <w:t>S</w:t>
      </w:r>
      <w:r w:rsidR="0044620F" w:rsidRPr="00CA35DD">
        <w:rPr>
          <w:rFonts w:cs="Calibri"/>
          <w:iCs/>
          <w:color w:val="auto"/>
          <w:szCs w:val="20"/>
          <w:shd w:val="clear" w:color="auto" w:fill="FFFFFF"/>
        </w:rPr>
        <w:t xml:space="preserve">tudents experiencing difficulties progressing in the general curriculum should be considered for all support services and intervention programs available to all students in the district, including tutoring, </w:t>
      </w:r>
      <w:proofErr w:type="spellStart"/>
      <w:r w:rsidR="0044620F" w:rsidRPr="00CA35DD">
        <w:rPr>
          <w:rFonts w:cs="Calibri"/>
          <w:iCs/>
          <w:color w:val="auto"/>
          <w:szCs w:val="20"/>
          <w:shd w:val="clear" w:color="auto" w:fill="FFFFFF"/>
        </w:rPr>
        <w:t>R</w:t>
      </w:r>
      <w:r w:rsidR="00C05174">
        <w:rPr>
          <w:rFonts w:cs="Calibri"/>
          <w:iCs/>
          <w:color w:val="auto"/>
          <w:szCs w:val="20"/>
          <w:shd w:val="clear" w:color="auto" w:fill="FFFFFF"/>
        </w:rPr>
        <w:t>t</w:t>
      </w:r>
      <w:r w:rsidR="0044620F" w:rsidRPr="00CA35DD">
        <w:rPr>
          <w:rFonts w:cs="Calibri"/>
          <w:iCs/>
          <w:color w:val="auto"/>
          <w:szCs w:val="20"/>
          <w:shd w:val="clear" w:color="auto" w:fill="FFFFFF"/>
        </w:rPr>
        <w:t>I</w:t>
      </w:r>
      <w:proofErr w:type="spellEnd"/>
      <w:r w:rsidR="0044620F" w:rsidRPr="00CA35DD">
        <w:rPr>
          <w:rFonts w:cs="Calibri"/>
          <w:iCs/>
          <w:color w:val="auto"/>
          <w:szCs w:val="20"/>
          <w:shd w:val="clear" w:color="auto" w:fill="FFFFFF"/>
        </w:rPr>
        <w:t xml:space="preserve"> programs, and remedial or compensatory programs. Implementation of any intervention program </w:t>
      </w:r>
      <w:r w:rsidR="0044620F" w:rsidRPr="00CA35DD">
        <w:rPr>
          <w:rFonts w:cs="Calibri"/>
          <w:iCs/>
          <w:color w:val="auto"/>
          <w:szCs w:val="20"/>
          <w:u w:val="single"/>
          <w:shd w:val="clear" w:color="auto" w:fill="FFFFFF"/>
        </w:rPr>
        <w:t>cannot serve to delay or deny</w:t>
      </w:r>
      <w:r w:rsidR="0044620F" w:rsidRPr="00CA35DD">
        <w:rPr>
          <w:rFonts w:cs="Calibri"/>
          <w:iCs/>
          <w:color w:val="auto"/>
          <w:szCs w:val="20"/>
          <w:shd w:val="clear" w:color="auto" w:fill="FFFFFF"/>
        </w:rPr>
        <w:t> referral, evaluation, and eligibility determinations under the IDEA when students are suspected of having a disability and a need for special education services. </w:t>
      </w:r>
    </w:p>
    <w:p w14:paraId="24927717" w14:textId="36F7B818" w:rsidR="0044620F" w:rsidRDefault="0044620F" w:rsidP="00850B01">
      <w:pPr>
        <w:spacing w:after="0" w:line="240" w:lineRule="auto"/>
        <w:rPr>
          <w:rFonts w:cs="Calibri"/>
          <w:iCs/>
          <w:color w:val="auto"/>
          <w:szCs w:val="20"/>
          <w:shd w:val="clear" w:color="auto" w:fill="FFFFFF"/>
        </w:rPr>
      </w:pPr>
      <w:r w:rsidRPr="00CA35DD">
        <w:rPr>
          <w:rFonts w:cs="Calibri"/>
          <w:iCs/>
          <w:color w:val="auto"/>
          <w:szCs w:val="20"/>
          <w:shd w:val="clear" w:color="auto" w:fill="FFFFFF"/>
        </w:rPr>
        <w:t>The support services, intervention program options to address the students' difficulties should be made in collaboration with parents, who should be notified of their right to request a special education referral at any time. If students continue to struggle with the general curriculum despite provision of interventions, the student should be referred for a special education evaluation within a reasonable timeframe, depending on the degree of response to interventions, the parents' input, and the degree of difficulty the student is experiencing in meeting mastery criteria on general curriculum. Implementation of any intervention program cannot serve to delay or deny referral, evaluation, and eligibility determinations under the IDEA when students are suspected of having a disability and a need for special education services.</w:t>
      </w:r>
    </w:p>
    <w:p w14:paraId="585E3534" w14:textId="312BE67B" w:rsidR="00E240BB" w:rsidRDefault="00E240BB" w:rsidP="00850B01">
      <w:pPr>
        <w:spacing w:after="0" w:line="240" w:lineRule="auto"/>
        <w:rPr>
          <w:rFonts w:cs="Calibri"/>
          <w:iCs/>
          <w:color w:val="auto"/>
          <w:szCs w:val="20"/>
          <w:shd w:val="clear" w:color="auto" w:fill="FFFFFF"/>
        </w:rPr>
      </w:pPr>
    </w:p>
    <w:p w14:paraId="330F01F1" w14:textId="12A36C97" w:rsidR="00E240BB" w:rsidRPr="00101DF1" w:rsidRDefault="00E240BB" w:rsidP="00B95742">
      <w:pPr>
        <w:spacing w:after="0" w:line="240" w:lineRule="auto"/>
        <w:rPr>
          <w:rFonts w:cs="Calibri"/>
          <w:b/>
          <w:color w:val="000000" w:themeColor="text1"/>
          <w:szCs w:val="20"/>
        </w:rPr>
      </w:pPr>
      <w:bookmarkStart w:id="0" w:name="_Hlk39212374"/>
      <w:r w:rsidRPr="00101DF1">
        <w:rPr>
          <w:rFonts w:cs="Calibri"/>
          <w:b/>
          <w:bCs/>
          <w:color w:val="000000" w:themeColor="text1"/>
          <w:szCs w:val="20"/>
        </w:rPr>
        <w:t>S</w:t>
      </w:r>
      <w:r w:rsidR="00B95742" w:rsidRPr="00101DF1">
        <w:rPr>
          <w:rFonts w:cs="Calibri"/>
          <w:b/>
          <w:bCs/>
          <w:color w:val="000000" w:themeColor="text1"/>
          <w:szCs w:val="20"/>
        </w:rPr>
        <w:t>taff Responsible</w:t>
      </w:r>
      <w:r w:rsidRPr="00101DF1">
        <w:rPr>
          <w:rFonts w:cs="Calibri"/>
          <w:b/>
          <w:color w:val="000000" w:themeColor="text1"/>
          <w:szCs w:val="20"/>
        </w:rPr>
        <w:t xml:space="preserve">:  </w:t>
      </w:r>
    </w:p>
    <w:p w14:paraId="61CA55D0" w14:textId="1139B2B5" w:rsidR="00E240BB" w:rsidRPr="00101DF1" w:rsidRDefault="00E240BB" w:rsidP="00E240BB">
      <w:pPr>
        <w:spacing w:after="120" w:line="240" w:lineRule="auto"/>
        <w:ind w:firstLine="720"/>
        <w:contextualSpacing/>
        <w:rPr>
          <w:rFonts w:cs="Calibri"/>
          <w:color w:val="000000" w:themeColor="text1"/>
          <w:szCs w:val="20"/>
        </w:rPr>
      </w:pPr>
      <w:r w:rsidRPr="00101DF1">
        <w:rPr>
          <w:rFonts w:cs="Calibri"/>
          <w:b/>
          <w:color w:val="000000" w:themeColor="text1"/>
          <w:szCs w:val="20"/>
        </w:rPr>
        <w:t xml:space="preserve">District Level: </w:t>
      </w:r>
      <w:r w:rsidRPr="00101DF1">
        <w:rPr>
          <w:rFonts w:cs="Calibri"/>
          <w:color w:val="000000" w:themeColor="text1"/>
          <w:szCs w:val="20"/>
        </w:rPr>
        <w:t>Superintendent</w:t>
      </w:r>
    </w:p>
    <w:p w14:paraId="2A4AEF8B" w14:textId="53876404" w:rsidR="00E240BB" w:rsidRPr="00101DF1" w:rsidRDefault="00E240BB" w:rsidP="00E240BB">
      <w:pPr>
        <w:spacing w:after="120" w:line="240" w:lineRule="auto"/>
        <w:ind w:firstLine="720"/>
        <w:contextualSpacing/>
        <w:rPr>
          <w:rFonts w:cs="Calibri"/>
          <w:color w:val="000000" w:themeColor="text1"/>
          <w:szCs w:val="20"/>
        </w:rPr>
      </w:pPr>
      <w:r w:rsidRPr="00101DF1">
        <w:rPr>
          <w:rFonts w:cs="Calibri"/>
          <w:b/>
          <w:color w:val="000000" w:themeColor="text1"/>
          <w:szCs w:val="20"/>
        </w:rPr>
        <w:t>Campus Level:</w:t>
      </w:r>
      <w:r w:rsidRPr="00101DF1">
        <w:rPr>
          <w:rFonts w:cs="Calibri"/>
          <w:color w:val="000000" w:themeColor="text1"/>
          <w:szCs w:val="20"/>
        </w:rPr>
        <w:t xml:space="preserve"> Principal, School Counselor, ESL Teacher</w:t>
      </w:r>
      <w:r w:rsidR="00F523F2" w:rsidRPr="00101DF1">
        <w:rPr>
          <w:rFonts w:cs="Calibri"/>
          <w:color w:val="000000" w:themeColor="text1"/>
          <w:szCs w:val="20"/>
        </w:rPr>
        <w:t xml:space="preserve">, </w:t>
      </w:r>
      <w:proofErr w:type="spellStart"/>
      <w:r w:rsidR="00F523F2" w:rsidRPr="00101DF1">
        <w:rPr>
          <w:rFonts w:cs="Calibri"/>
          <w:color w:val="000000" w:themeColor="text1"/>
          <w:szCs w:val="20"/>
        </w:rPr>
        <w:t>R</w:t>
      </w:r>
      <w:r w:rsidR="00C05174" w:rsidRPr="00101DF1">
        <w:rPr>
          <w:rFonts w:cs="Calibri"/>
          <w:color w:val="000000" w:themeColor="text1"/>
          <w:szCs w:val="20"/>
        </w:rPr>
        <w:t>t</w:t>
      </w:r>
      <w:r w:rsidR="00F523F2" w:rsidRPr="00101DF1">
        <w:rPr>
          <w:rFonts w:cs="Calibri"/>
          <w:color w:val="000000" w:themeColor="text1"/>
          <w:szCs w:val="20"/>
        </w:rPr>
        <w:t>I</w:t>
      </w:r>
      <w:proofErr w:type="spellEnd"/>
      <w:r w:rsidR="00F523F2" w:rsidRPr="00101DF1">
        <w:rPr>
          <w:rFonts w:cs="Calibri"/>
          <w:color w:val="000000" w:themeColor="text1"/>
          <w:szCs w:val="20"/>
        </w:rPr>
        <w:t xml:space="preserve"> Committee </w:t>
      </w:r>
    </w:p>
    <w:bookmarkEnd w:id="0"/>
    <w:p w14:paraId="17D47F51" w14:textId="77777777" w:rsidR="00E240BB" w:rsidRPr="00101DF1" w:rsidRDefault="00E240BB" w:rsidP="00E240BB">
      <w:pPr>
        <w:spacing w:after="120" w:line="240" w:lineRule="auto"/>
        <w:contextualSpacing/>
        <w:rPr>
          <w:rFonts w:cs="Calibri"/>
          <w:color w:val="000000" w:themeColor="text1"/>
          <w:szCs w:val="20"/>
        </w:rPr>
      </w:pPr>
    </w:p>
    <w:p w14:paraId="4E24F568" w14:textId="19990428" w:rsidR="00E240BB" w:rsidRPr="00101DF1" w:rsidRDefault="00E240BB" w:rsidP="00B95742">
      <w:pPr>
        <w:spacing w:after="0" w:line="240" w:lineRule="auto"/>
        <w:contextualSpacing/>
        <w:rPr>
          <w:rFonts w:cs="Calibri"/>
          <w:b/>
          <w:bCs/>
          <w:color w:val="000000" w:themeColor="text1"/>
          <w:szCs w:val="20"/>
        </w:rPr>
      </w:pPr>
      <w:r w:rsidRPr="00101DF1">
        <w:rPr>
          <w:rFonts w:cs="Calibri"/>
          <w:b/>
          <w:bCs/>
          <w:color w:val="000000" w:themeColor="text1"/>
          <w:szCs w:val="20"/>
        </w:rPr>
        <w:t>T</w:t>
      </w:r>
      <w:r w:rsidR="00B95742" w:rsidRPr="00101DF1">
        <w:rPr>
          <w:rFonts w:cs="Calibri"/>
          <w:b/>
          <w:bCs/>
          <w:color w:val="000000" w:themeColor="text1"/>
          <w:szCs w:val="20"/>
        </w:rPr>
        <w:t>imelines</w:t>
      </w:r>
      <w:r w:rsidRPr="00101DF1">
        <w:rPr>
          <w:rFonts w:cs="Calibri"/>
          <w:b/>
          <w:bCs/>
          <w:color w:val="000000" w:themeColor="text1"/>
          <w:szCs w:val="20"/>
        </w:rPr>
        <w:t>:</w:t>
      </w:r>
    </w:p>
    <w:p w14:paraId="7AE76C59" w14:textId="38520E7B" w:rsidR="00E240BB" w:rsidRPr="00101DF1" w:rsidRDefault="005C25DE" w:rsidP="00E240BB">
      <w:pPr>
        <w:pStyle w:val="ListParagraph"/>
        <w:numPr>
          <w:ilvl w:val="0"/>
          <w:numId w:val="25"/>
        </w:numPr>
        <w:spacing w:after="120" w:line="240" w:lineRule="auto"/>
        <w:rPr>
          <w:rFonts w:cs="Calibri"/>
          <w:color w:val="000000" w:themeColor="text1"/>
          <w:szCs w:val="20"/>
        </w:rPr>
      </w:pPr>
      <w:r w:rsidRPr="00101DF1">
        <w:rPr>
          <w:rFonts w:cs="Calibri"/>
          <w:color w:val="000000" w:themeColor="text1"/>
          <w:szCs w:val="20"/>
        </w:rPr>
        <w:t>Dyslexia screenings completed by required timelines.</w:t>
      </w:r>
    </w:p>
    <w:p w14:paraId="47A4C905" w14:textId="77777777" w:rsidR="00E240BB" w:rsidRPr="00101DF1" w:rsidRDefault="00E240BB" w:rsidP="00E240BB">
      <w:pPr>
        <w:pStyle w:val="ListParagraph"/>
        <w:numPr>
          <w:ilvl w:val="0"/>
          <w:numId w:val="25"/>
        </w:numPr>
        <w:spacing w:after="120" w:line="240" w:lineRule="auto"/>
        <w:rPr>
          <w:rFonts w:cs="Calibri"/>
          <w:color w:val="000000" w:themeColor="text1"/>
          <w:szCs w:val="20"/>
        </w:rPr>
      </w:pPr>
      <w:r w:rsidRPr="00101DF1">
        <w:rPr>
          <w:rFonts w:cs="Calibri"/>
          <w:color w:val="000000" w:themeColor="text1"/>
          <w:szCs w:val="20"/>
        </w:rPr>
        <w:t>FIIE will be conducted within 45 school days of receiving parental consent for evaluation.</w:t>
      </w:r>
      <w:r w:rsidRPr="00101DF1">
        <w:rPr>
          <w:rFonts w:cs="Calibri"/>
          <w:b/>
          <w:bCs/>
          <w:color w:val="000000"/>
          <w:szCs w:val="20"/>
          <w:shd w:val="clear" w:color="auto" w:fill="FFFFFF"/>
        </w:rPr>
        <w:t xml:space="preserve"> </w:t>
      </w:r>
    </w:p>
    <w:p w14:paraId="1009F0B0" w14:textId="77777777" w:rsidR="00B95742" w:rsidRPr="00101DF1" w:rsidRDefault="00B95742" w:rsidP="00B95742">
      <w:pPr>
        <w:spacing w:after="0" w:line="240" w:lineRule="auto"/>
        <w:rPr>
          <w:rFonts w:cs="Calibri"/>
          <w:b/>
          <w:iCs/>
          <w:color w:val="auto"/>
          <w:szCs w:val="20"/>
        </w:rPr>
      </w:pPr>
      <w:r w:rsidRPr="00101DF1">
        <w:rPr>
          <w:rFonts w:cs="Calibri"/>
          <w:b/>
          <w:color w:val="auto"/>
          <w:szCs w:val="20"/>
        </w:rPr>
        <w:t>Evidence of Practice:</w:t>
      </w:r>
    </w:p>
    <w:p w14:paraId="6BED66BD" w14:textId="16F17A1B" w:rsidR="00E240BB" w:rsidRPr="00101DF1" w:rsidRDefault="004D27CA" w:rsidP="00E240BB">
      <w:pPr>
        <w:pStyle w:val="ListParagraph"/>
        <w:numPr>
          <w:ilvl w:val="0"/>
          <w:numId w:val="24"/>
        </w:numPr>
        <w:spacing w:after="120" w:line="240" w:lineRule="auto"/>
        <w:rPr>
          <w:rFonts w:cs="Calibri"/>
          <w:bCs/>
          <w:color w:val="000000" w:themeColor="text1"/>
          <w:szCs w:val="20"/>
        </w:rPr>
      </w:pPr>
      <w:proofErr w:type="spellStart"/>
      <w:r w:rsidRPr="00101DF1">
        <w:rPr>
          <w:rFonts w:cs="Calibri"/>
          <w:bCs/>
          <w:color w:val="000000" w:themeColor="text1"/>
          <w:szCs w:val="20"/>
        </w:rPr>
        <w:t>R</w:t>
      </w:r>
      <w:r w:rsidR="00C05174" w:rsidRPr="00101DF1">
        <w:rPr>
          <w:rFonts w:cs="Calibri"/>
          <w:bCs/>
          <w:color w:val="000000" w:themeColor="text1"/>
          <w:szCs w:val="20"/>
        </w:rPr>
        <w:t>t</w:t>
      </w:r>
      <w:r w:rsidRPr="00101DF1">
        <w:rPr>
          <w:rFonts w:cs="Calibri"/>
          <w:bCs/>
          <w:color w:val="000000" w:themeColor="text1"/>
          <w:szCs w:val="20"/>
        </w:rPr>
        <w:t>I</w:t>
      </w:r>
      <w:proofErr w:type="spellEnd"/>
      <w:r w:rsidRPr="00101DF1">
        <w:rPr>
          <w:rFonts w:cs="Calibri"/>
          <w:bCs/>
          <w:color w:val="000000" w:themeColor="text1"/>
          <w:szCs w:val="20"/>
        </w:rPr>
        <w:t xml:space="preserve"> Committee f</w:t>
      </w:r>
      <w:r w:rsidR="00E240BB" w:rsidRPr="00101DF1">
        <w:rPr>
          <w:rFonts w:cs="Calibri"/>
          <w:bCs/>
          <w:color w:val="000000" w:themeColor="text1"/>
          <w:szCs w:val="20"/>
        </w:rPr>
        <w:t>orms or checklists</w:t>
      </w:r>
    </w:p>
    <w:p w14:paraId="0D8B4657" w14:textId="77777777" w:rsidR="00E240BB" w:rsidRPr="00101DF1" w:rsidRDefault="00E240BB" w:rsidP="00E240BB">
      <w:pPr>
        <w:pStyle w:val="ListParagraph"/>
        <w:numPr>
          <w:ilvl w:val="0"/>
          <w:numId w:val="24"/>
        </w:numPr>
        <w:spacing w:after="120" w:line="240" w:lineRule="auto"/>
        <w:rPr>
          <w:rFonts w:cs="Calibri"/>
          <w:bCs/>
          <w:color w:val="000000" w:themeColor="text1"/>
          <w:szCs w:val="20"/>
        </w:rPr>
      </w:pPr>
      <w:r w:rsidRPr="00101DF1">
        <w:rPr>
          <w:rFonts w:cs="Calibri"/>
          <w:bCs/>
          <w:color w:val="000000" w:themeColor="text1"/>
          <w:szCs w:val="20"/>
        </w:rPr>
        <w:t>Teacher training artifacts (presentation handouts, sign-in sheets, etc.)</w:t>
      </w:r>
    </w:p>
    <w:p w14:paraId="33163DD0" w14:textId="77777777" w:rsidR="00E240BB" w:rsidRPr="00101DF1" w:rsidRDefault="00E240BB" w:rsidP="00E240BB">
      <w:pPr>
        <w:pStyle w:val="ListParagraph"/>
        <w:numPr>
          <w:ilvl w:val="0"/>
          <w:numId w:val="24"/>
        </w:numPr>
        <w:spacing w:after="120" w:line="240" w:lineRule="auto"/>
        <w:rPr>
          <w:rFonts w:cs="Calibri"/>
          <w:bCs/>
          <w:color w:val="000000" w:themeColor="text1"/>
          <w:szCs w:val="20"/>
        </w:rPr>
      </w:pPr>
      <w:r w:rsidRPr="00101DF1">
        <w:rPr>
          <w:rFonts w:cs="Calibri"/>
          <w:bCs/>
          <w:color w:val="000000" w:themeColor="text1"/>
          <w:szCs w:val="20"/>
        </w:rPr>
        <w:t>Written consent for evaluation</w:t>
      </w:r>
    </w:p>
    <w:p w14:paraId="774E35F7" w14:textId="77777777" w:rsidR="00E240BB" w:rsidRPr="00101DF1" w:rsidRDefault="00E240BB" w:rsidP="00E240BB">
      <w:pPr>
        <w:pStyle w:val="ListParagraph"/>
        <w:numPr>
          <w:ilvl w:val="0"/>
          <w:numId w:val="24"/>
        </w:numPr>
        <w:spacing w:after="120" w:line="240" w:lineRule="auto"/>
        <w:rPr>
          <w:rFonts w:cs="Calibri"/>
          <w:bCs/>
          <w:color w:val="000000" w:themeColor="text1"/>
          <w:szCs w:val="20"/>
        </w:rPr>
      </w:pPr>
      <w:r w:rsidRPr="00101DF1">
        <w:rPr>
          <w:rFonts w:cs="Calibri"/>
          <w:bCs/>
          <w:color w:val="000000" w:themeColor="text1"/>
          <w:szCs w:val="20"/>
        </w:rPr>
        <w:t>Evaluation reports</w:t>
      </w:r>
    </w:p>
    <w:p w14:paraId="5E19CDC6" w14:textId="5D425858" w:rsidR="00E240BB" w:rsidRPr="00101DF1" w:rsidRDefault="00E240BB" w:rsidP="00E240BB">
      <w:pPr>
        <w:pStyle w:val="ListParagraph"/>
        <w:numPr>
          <w:ilvl w:val="0"/>
          <w:numId w:val="24"/>
        </w:numPr>
        <w:spacing w:after="120" w:line="240" w:lineRule="auto"/>
        <w:rPr>
          <w:rFonts w:cs="Calibri"/>
          <w:bCs/>
          <w:color w:val="000000" w:themeColor="text1"/>
          <w:szCs w:val="20"/>
        </w:rPr>
      </w:pPr>
      <w:r w:rsidRPr="00101DF1">
        <w:rPr>
          <w:rFonts w:cs="Calibri"/>
          <w:bCs/>
          <w:color w:val="000000" w:themeColor="text1"/>
          <w:szCs w:val="20"/>
        </w:rPr>
        <w:t xml:space="preserve">Description of RTI </w:t>
      </w:r>
    </w:p>
    <w:p w14:paraId="2FEF03F3" w14:textId="77777777" w:rsidR="00E240BB" w:rsidRPr="00F62EC5" w:rsidRDefault="00E240BB" w:rsidP="00E240BB">
      <w:pPr>
        <w:pStyle w:val="ListParagraph"/>
        <w:spacing w:after="120" w:line="240" w:lineRule="auto"/>
        <w:rPr>
          <w:rFonts w:ascii="Calibri" w:hAnsi="Calibri" w:cs="Calibri"/>
          <w:bCs/>
          <w:color w:val="000000" w:themeColor="text1"/>
          <w:sz w:val="24"/>
        </w:rPr>
      </w:pPr>
    </w:p>
    <w:p w14:paraId="413B93B1" w14:textId="77777777" w:rsidR="0044620F" w:rsidRPr="00CA35DD" w:rsidRDefault="0044620F" w:rsidP="00850B01">
      <w:pPr>
        <w:spacing w:after="0" w:line="240" w:lineRule="auto"/>
        <w:rPr>
          <w:rFonts w:eastAsia="Times New Roman" w:cs="Calibri"/>
          <w:color w:val="auto"/>
          <w:szCs w:val="20"/>
        </w:rPr>
      </w:pPr>
    </w:p>
    <w:sectPr w:rsidR="0044620F" w:rsidRPr="00CA35DD" w:rsidSect="00A15E59">
      <w:headerReference w:type="even" r:id="rId16"/>
      <w:headerReference w:type="default" r:id="rId17"/>
      <w:footerReference w:type="even" r:id="rId18"/>
      <w:footerReference w:type="default" r:id="rId19"/>
      <w:headerReference w:type="first" r:id="rId20"/>
      <w:footerReference w:type="first" r:id="rId2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EFFAD" w14:textId="77777777" w:rsidR="00B51928" w:rsidRDefault="00B51928">
      <w:pPr>
        <w:spacing w:after="0" w:line="240" w:lineRule="auto"/>
      </w:pPr>
      <w:r>
        <w:separator/>
      </w:r>
    </w:p>
  </w:endnote>
  <w:endnote w:type="continuationSeparator" w:id="0">
    <w:p w14:paraId="6754A32B" w14:textId="77777777" w:rsidR="00B51928" w:rsidRDefault="00B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EE11" w14:textId="77777777" w:rsidR="00CE4AFA" w:rsidRDefault="00CE4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2"/>
      <w:gridCol w:w="6068"/>
    </w:tblGrid>
    <w:tr w:rsidR="00A15E59" w:rsidRPr="00CD22C5" w14:paraId="2BAACE58" w14:textId="77777777" w:rsidTr="007A30FA">
      <w:trPr>
        <w:jc w:val="center"/>
      </w:trPr>
      <w:tc>
        <w:tcPr>
          <w:tcW w:w="3348" w:type="dxa"/>
          <w:vAlign w:val="center"/>
        </w:tcPr>
        <w:p w14:paraId="1017059B" w14:textId="3C1538D4"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F56807">
            <w:rPr>
              <w:b w:val="0"/>
              <w:sz w:val="16"/>
              <w:szCs w:val="16"/>
            </w:rPr>
            <w:t>Procedures</w:t>
          </w:r>
        </w:p>
      </w:tc>
      <w:tc>
        <w:tcPr>
          <w:tcW w:w="6228" w:type="dxa"/>
          <w:vAlign w:val="center"/>
        </w:tcPr>
        <w:p w14:paraId="5E3ED629" w14:textId="77777777" w:rsidR="00A15E59" w:rsidRPr="009A1B8F" w:rsidRDefault="002B4AD2" w:rsidP="002B4AD2">
          <w:pPr>
            <w:pStyle w:val="Footer"/>
            <w:tabs>
              <w:tab w:val="left" w:pos="1260"/>
            </w:tabs>
            <w:jc w:val="right"/>
            <w:rPr>
              <w:sz w:val="16"/>
              <w:szCs w:val="16"/>
            </w:rPr>
          </w:pPr>
          <w:r>
            <w:rPr>
              <w:sz w:val="16"/>
              <w:szCs w:val="16"/>
            </w:rPr>
            <w:t>CLOSING THE GAP</w:t>
          </w:r>
        </w:p>
      </w:tc>
    </w:tr>
    <w:tr w:rsidR="00A15E59" w:rsidRPr="00CD22C5" w14:paraId="79F76AEB" w14:textId="77777777" w:rsidTr="007A30FA">
      <w:trPr>
        <w:jc w:val="center"/>
      </w:trPr>
      <w:tc>
        <w:tcPr>
          <w:tcW w:w="3348" w:type="dxa"/>
          <w:vAlign w:val="center"/>
        </w:tcPr>
        <w:p w14:paraId="52BACB94" w14:textId="60E444BD"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931C0" w:rsidRPr="00CE4AFA">
            <w:rPr>
              <w:b w:val="0"/>
              <w:sz w:val="16"/>
              <w:szCs w:val="16"/>
            </w:rPr>
            <w:t>08/202</w:t>
          </w:r>
          <w:r w:rsidR="0035011B">
            <w:rPr>
              <w:b w:val="0"/>
              <w:sz w:val="16"/>
              <w:szCs w:val="16"/>
            </w:rPr>
            <w:t>5</w:t>
          </w:r>
          <w:bookmarkStart w:id="1" w:name="_GoBack"/>
          <w:bookmarkEnd w:id="1"/>
        </w:p>
      </w:tc>
      <w:tc>
        <w:tcPr>
          <w:tcW w:w="6228" w:type="dxa"/>
          <w:vAlign w:val="center"/>
        </w:tcPr>
        <w:p w14:paraId="6320BCCA"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878BE">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A878BE">
            <w:rPr>
              <w:b w:val="0"/>
              <w:noProof/>
              <w:sz w:val="16"/>
              <w:szCs w:val="16"/>
            </w:rPr>
            <w:t>2</w:t>
          </w:r>
          <w:r w:rsidRPr="00CD22C5">
            <w:rPr>
              <w:b w:val="0"/>
              <w:sz w:val="16"/>
              <w:szCs w:val="16"/>
            </w:rPr>
            <w:fldChar w:fldCharType="end"/>
          </w:r>
        </w:p>
      </w:tc>
    </w:tr>
  </w:tbl>
  <w:p w14:paraId="23CDBBE6"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38E5A98F" w14:textId="77777777" w:rsidTr="00CD22C5">
      <w:tc>
        <w:tcPr>
          <w:tcW w:w="4338" w:type="dxa"/>
          <w:vAlign w:val="center"/>
        </w:tcPr>
        <w:p w14:paraId="02965AA6"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5D203D89"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661530D2" w14:textId="77777777" w:rsidTr="00CD22C5">
      <w:tc>
        <w:tcPr>
          <w:tcW w:w="4338" w:type="dxa"/>
          <w:vAlign w:val="center"/>
        </w:tcPr>
        <w:p w14:paraId="5DA695EF"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5AD2DA7F"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55FEDDB3"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4959" w14:textId="77777777" w:rsidR="00B51928" w:rsidRDefault="00B51928">
      <w:pPr>
        <w:spacing w:after="0" w:line="240" w:lineRule="auto"/>
      </w:pPr>
      <w:r>
        <w:separator/>
      </w:r>
    </w:p>
  </w:footnote>
  <w:footnote w:type="continuationSeparator" w:id="0">
    <w:p w14:paraId="5DA6C40F" w14:textId="77777777" w:rsidR="00B51928" w:rsidRDefault="00B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1D10" w14:textId="77777777" w:rsidR="00CE4AFA" w:rsidRDefault="00CE4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67C1A116"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7D1694D"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F56807">
            <w:rPr>
              <w:sz w:val="24"/>
            </w:rPr>
            <w:t>PROCEDURES</w:t>
          </w:r>
        </w:p>
      </w:tc>
    </w:tr>
    <w:tr w:rsidR="00A15E59" w:rsidRPr="00A15E59" w14:paraId="63188CC2"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A4DBB56" w14:textId="77777777" w:rsidR="00727C62" w:rsidRPr="00A15E59" w:rsidRDefault="002B4AD2" w:rsidP="002B4AD2">
          <w:pPr>
            <w:pStyle w:val="Header"/>
            <w:spacing w:before="0"/>
            <w:jc w:val="center"/>
            <w:rPr>
              <w:sz w:val="24"/>
            </w:rPr>
          </w:pPr>
          <w:r>
            <w:rPr>
              <w:sz w:val="24"/>
            </w:rPr>
            <w:t>CLOSING THE GAP</w:t>
          </w:r>
        </w:p>
      </w:tc>
    </w:tr>
    <w:tr w:rsidR="00A15E59" w:rsidRPr="00A15E59" w14:paraId="7ACD0B40"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3FDCE95C" w14:textId="7134399D" w:rsidR="003850E5" w:rsidRPr="00A15E59" w:rsidRDefault="003850E5" w:rsidP="0017202D">
          <w:pPr>
            <w:pStyle w:val="Header"/>
            <w:spacing w:before="0"/>
            <w:jc w:val="left"/>
          </w:pPr>
          <w:r>
            <w:t>Robertson County Special Services</w:t>
          </w:r>
        </w:p>
      </w:tc>
      <w:tc>
        <w:tcPr>
          <w:tcW w:w="1710" w:type="dxa"/>
          <w:vAlign w:val="center"/>
        </w:tcPr>
        <w:p w14:paraId="18F14411" w14:textId="1E89C2FB"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2735969B"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5501" w14:textId="77777777" w:rsidR="00CE4AFA" w:rsidRDefault="00CE4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D4CC9"/>
    <w:multiLevelType w:val="multilevel"/>
    <w:tmpl w:val="E15653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80575"/>
    <w:multiLevelType w:val="hybridMultilevel"/>
    <w:tmpl w:val="FDE4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20"/>
  </w:num>
  <w:num w:numId="15">
    <w:abstractNumId w:val="13"/>
  </w:num>
  <w:num w:numId="16">
    <w:abstractNumId w:val="12"/>
  </w:num>
  <w:num w:numId="17">
    <w:abstractNumId w:val="9"/>
  </w:num>
  <w:num w:numId="18">
    <w:abstractNumId w:val="14"/>
  </w:num>
  <w:num w:numId="19">
    <w:abstractNumId w:val="11"/>
  </w:num>
  <w:num w:numId="20">
    <w:abstractNumId w:val="21"/>
  </w:num>
  <w:num w:numId="21">
    <w:abstractNumId w:val="17"/>
  </w:num>
  <w:num w:numId="22">
    <w:abstractNumId w:val="19"/>
  </w:num>
  <w:num w:numId="23">
    <w:abstractNumId w:val="16"/>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5948"/>
    <w:rsid w:val="000173C1"/>
    <w:rsid w:val="00026EFA"/>
    <w:rsid w:val="00027F91"/>
    <w:rsid w:val="000845BD"/>
    <w:rsid w:val="00090A43"/>
    <w:rsid w:val="000C084D"/>
    <w:rsid w:val="000C551A"/>
    <w:rsid w:val="00101DF1"/>
    <w:rsid w:val="001038D9"/>
    <w:rsid w:val="0010401E"/>
    <w:rsid w:val="00121D7E"/>
    <w:rsid w:val="00140EB8"/>
    <w:rsid w:val="00170756"/>
    <w:rsid w:val="0017202D"/>
    <w:rsid w:val="001926E0"/>
    <w:rsid w:val="001C6AC8"/>
    <w:rsid w:val="001E4ECB"/>
    <w:rsid w:val="002045E8"/>
    <w:rsid w:val="0020530F"/>
    <w:rsid w:val="00271990"/>
    <w:rsid w:val="00287E6A"/>
    <w:rsid w:val="002B4AD2"/>
    <w:rsid w:val="002C59FD"/>
    <w:rsid w:val="0035011B"/>
    <w:rsid w:val="003850E5"/>
    <w:rsid w:val="003920EE"/>
    <w:rsid w:val="00402331"/>
    <w:rsid w:val="00415C50"/>
    <w:rsid w:val="00426C23"/>
    <w:rsid w:val="00435838"/>
    <w:rsid w:val="0044620F"/>
    <w:rsid w:val="00452D0C"/>
    <w:rsid w:val="00462709"/>
    <w:rsid w:val="00470F29"/>
    <w:rsid w:val="00480932"/>
    <w:rsid w:val="004C26A1"/>
    <w:rsid w:val="004C2CC9"/>
    <w:rsid w:val="004C649B"/>
    <w:rsid w:val="004D27CA"/>
    <w:rsid w:val="004E2A26"/>
    <w:rsid w:val="004F27C1"/>
    <w:rsid w:val="004F452C"/>
    <w:rsid w:val="00512E3A"/>
    <w:rsid w:val="00523478"/>
    <w:rsid w:val="005B4D80"/>
    <w:rsid w:val="005C25DE"/>
    <w:rsid w:val="005E2D0E"/>
    <w:rsid w:val="00633C11"/>
    <w:rsid w:val="0068240C"/>
    <w:rsid w:val="006C2134"/>
    <w:rsid w:val="006D09A6"/>
    <w:rsid w:val="006E3F0A"/>
    <w:rsid w:val="007021EA"/>
    <w:rsid w:val="00727C62"/>
    <w:rsid w:val="007A30FA"/>
    <w:rsid w:val="007D1DFC"/>
    <w:rsid w:val="007D5D41"/>
    <w:rsid w:val="00831F03"/>
    <w:rsid w:val="00850B01"/>
    <w:rsid w:val="00884D94"/>
    <w:rsid w:val="008931C0"/>
    <w:rsid w:val="00894CA1"/>
    <w:rsid w:val="008A67B5"/>
    <w:rsid w:val="008B4399"/>
    <w:rsid w:val="008C5FA7"/>
    <w:rsid w:val="008E1425"/>
    <w:rsid w:val="008F656D"/>
    <w:rsid w:val="00924B11"/>
    <w:rsid w:val="009415A3"/>
    <w:rsid w:val="00962988"/>
    <w:rsid w:val="00974F70"/>
    <w:rsid w:val="00976E6E"/>
    <w:rsid w:val="00980EAE"/>
    <w:rsid w:val="00996831"/>
    <w:rsid w:val="009A1B47"/>
    <w:rsid w:val="00A01F23"/>
    <w:rsid w:val="00A15E59"/>
    <w:rsid w:val="00A3346D"/>
    <w:rsid w:val="00A878BE"/>
    <w:rsid w:val="00AA0D55"/>
    <w:rsid w:val="00AD60B5"/>
    <w:rsid w:val="00AE7496"/>
    <w:rsid w:val="00AF4B0B"/>
    <w:rsid w:val="00AF7147"/>
    <w:rsid w:val="00B51928"/>
    <w:rsid w:val="00B95742"/>
    <w:rsid w:val="00BE4D54"/>
    <w:rsid w:val="00BF06FA"/>
    <w:rsid w:val="00C05174"/>
    <w:rsid w:val="00C24881"/>
    <w:rsid w:val="00C24BAB"/>
    <w:rsid w:val="00C2558A"/>
    <w:rsid w:val="00C52250"/>
    <w:rsid w:val="00C6562F"/>
    <w:rsid w:val="00CA35DD"/>
    <w:rsid w:val="00CD22C5"/>
    <w:rsid w:val="00CE3215"/>
    <w:rsid w:val="00CE4AFA"/>
    <w:rsid w:val="00CE5EEE"/>
    <w:rsid w:val="00D100AD"/>
    <w:rsid w:val="00D42099"/>
    <w:rsid w:val="00D45E93"/>
    <w:rsid w:val="00D46B8E"/>
    <w:rsid w:val="00D54A17"/>
    <w:rsid w:val="00D63E2A"/>
    <w:rsid w:val="00D63FD3"/>
    <w:rsid w:val="00DA0A84"/>
    <w:rsid w:val="00DB231F"/>
    <w:rsid w:val="00DF5B9C"/>
    <w:rsid w:val="00E00450"/>
    <w:rsid w:val="00E009AB"/>
    <w:rsid w:val="00E11E5B"/>
    <w:rsid w:val="00E13668"/>
    <w:rsid w:val="00E164D4"/>
    <w:rsid w:val="00E20AB4"/>
    <w:rsid w:val="00E21132"/>
    <w:rsid w:val="00E240BB"/>
    <w:rsid w:val="00E30FC1"/>
    <w:rsid w:val="00E37D8B"/>
    <w:rsid w:val="00E414F9"/>
    <w:rsid w:val="00E514A4"/>
    <w:rsid w:val="00ED5C01"/>
    <w:rsid w:val="00EE1684"/>
    <w:rsid w:val="00EE1F1C"/>
    <w:rsid w:val="00F04CEA"/>
    <w:rsid w:val="00F11CFF"/>
    <w:rsid w:val="00F45D74"/>
    <w:rsid w:val="00F523F2"/>
    <w:rsid w:val="00F56807"/>
    <w:rsid w:val="00F720D6"/>
    <w:rsid w:val="00F90F60"/>
    <w:rsid w:val="00FB14D2"/>
    <w:rsid w:val="00FB1518"/>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1AA6E"/>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44620F"/>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02885">
      <w:bodyDiv w:val="1"/>
      <w:marLeft w:val="0"/>
      <w:marRight w:val="0"/>
      <w:marTop w:val="0"/>
      <w:marBottom w:val="0"/>
      <w:divBdr>
        <w:top w:val="none" w:sz="0" w:space="0" w:color="auto"/>
        <w:left w:val="none" w:sz="0" w:space="0" w:color="auto"/>
        <w:bottom w:val="none" w:sz="0" w:space="0" w:color="auto"/>
        <w:right w:val="none" w:sz="0" w:space="0" w:color="auto"/>
      </w:divBdr>
    </w:div>
    <w:div w:id="802768171">
      <w:bodyDiv w:val="1"/>
      <w:marLeft w:val="0"/>
      <w:marRight w:val="0"/>
      <w:marTop w:val="0"/>
      <w:marBottom w:val="0"/>
      <w:divBdr>
        <w:top w:val="none" w:sz="0" w:space="0" w:color="auto"/>
        <w:left w:val="none" w:sz="0" w:space="0" w:color="auto"/>
        <w:bottom w:val="none" w:sz="0" w:space="0" w:color="auto"/>
        <w:right w:val="none" w:sz="0" w:space="0" w:color="auto"/>
      </w:divBdr>
    </w:div>
    <w:div w:id="859778603">
      <w:bodyDiv w:val="1"/>
      <w:marLeft w:val="0"/>
      <w:marRight w:val="0"/>
      <w:marTop w:val="0"/>
      <w:marBottom w:val="0"/>
      <w:divBdr>
        <w:top w:val="none" w:sz="0" w:space="0" w:color="auto"/>
        <w:left w:val="none" w:sz="0" w:space="0" w:color="auto"/>
        <w:bottom w:val="none" w:sz="0" w:space="0" w:color="auto"/>
        <w:right w:val="none" w:sz="0" w:space="0" w:color="auto"/>
      </w:divBdr>
      <w:divsChild>
        <w:div w:id="1033264529">
          <w:marLeft w:val="0"/>
          <w:marRight w:val="0"/>
          <w:marTop w:val="0"/>
          <w:marBottom w:val="0"/>
          <w:divBdr>
            <w:top w:val="none" w:sz="0" w:space="0" w:color="auto"/>
            <w:left w:val="none" w:sz="0" w:space="0" w:color="auto"/>
            <w:bottom w:val="none" w:sz="0" w:space="0" w:color="auto"/>
            <w:right w:val="none" w:sz="0" w:space="0" w:color="auto"/>
          </w:divBdr>
          <w:divsChild>
            <w:div w:id="1209218480">
              <w:marLeft w:val="0"/>
              <w:marRight w:val="0"/>
              <w:marTop w:val="0"/>
              <w:marBottom w:val="0"/>
              <w:divBdr>
                <w:top w:val="none" w:sz="0" w:space="0" w:color="auto"/>
                <w:left w:val="none" w:sz="0" w:space="0" w:color="auto"/>
                <w:bottom w:val="none" w:sz="0" w:space="0" w:color="auto"/>
                <w:right w:val="none" w:sz="0" w:space="0" w:color="auto"/>
              </w:divBdr>
              <w:divsChild>
                <w:div w:id="20405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228">
      <w:bodyDiv w:val="1"/>
      <w:marLeft w:val="0"/>
      <w:marRight w:val="0"/>
      <w:marTop w:val="0"/>
      <w:marBottom w:val="0"/>
      <w:divBdr>
        <w:top w:val="none" w:sz="0" w:space="0" w:color="auto"/>
        <w:left w:val="none" w:sz="0" w:space="0" w:color="auto"/>
        <w:bottom w:val="none" w:sz="0" w:space="0" w:color="auto"/>
        <w:right w:val="none" w:sz="0" w:space="0" w:color="auto"/>
      </w:divBdr>
    </w:div>
    <w:div w:id="15321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206&amp;DT=G&amp;LID=en" TargetMode="External"/><Relationship Id="rId13" Type="http://schemas.openxmlformats.org/officeDocument/2006/relationships/hyperlink" Target="http://idea-b.ed.gov/explore/view/p/,root,dynamic,Presentation,16,.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ea.texas.gov/Academics/Special_Student_Populations/Special_Education/Programs_and_Services/Special_Education_Funding/Requirements_of_Coordinated_Early_Intervening_Servi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olicy/speced/guid/idea/memosdcltrs/12-008431r-me-dale-rti-11-14-12.pdf" TargetMode="External"/><Relationship Id="rId5" Type="http://schemas.openxmlformats.org/officeDocument/2006/relationships/webSettings" Target="webSettings.xml"/><Relationship Id="rId15" Type="http://schemas.openxmlformats.org/officeDocument/2006/relationships/hyperlink" Target="https://framework.esc18.net/display/Webforms/LandingPage.aspx" TargetMode="External"/><Relationship Id="rId23" Type="http://schemas.openxmlformats.org/officeDocument/2006/relationships/theme" Target="theme/theme1.xml"/><Relationship Id="rId10" Type="http://schemas.openxmlformats.org/officeDocument/2006/relationships/hyperlink" Target="http://www2.ed.gov/policy/speced/guid/idea/memosdcltrs/12-008431r-me-dale-rti-11-14-1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2.ed.gov/policy/speced/guid/idea/memosdcltrs/12-008431r-me-dale-rti-11-14-12.pdf" TargetMode="External"/><Relationship Id="rId14" Type="http://schemas.openxmlformats.org/officeDocument/2006/relationships/hyperlink" Target="http://idea.ed.gov/explore/view/p/,root,dynamic,Presentation,16,.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7DA7999-6745-40B9-B870-D846CB61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47</cp:revision>
  <cp:lastPrinted>2016-03-01T22:06:00Z</cp:lastPrinted>
  <dcterms:created xsi:type="dcterms:W3CDTF">2020-09-16T13:38:00Z</dcterms:created>
  <dcterms:modified xsi:type="dcterms:W3CDTF">2025-10-27T14:52:00Z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