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C5475A" w14:textId="77777777" w:rsidR="002045E8" w:rsidRDefault="002045E8" w:rsidP="002045E8">
      <w:pPr>
        <w:spacing w:after="0" w:line="240" w:lineRule="auto"/>
        <w:rPr>
          <w:szCs w:val="20"/>
        </w:rPr>
      </w:pPr>
    </w:p>
    <w:p w14:paraId="7C4EF074" w14:textId="77777777" w:rsidR="004F452C" w:rsidRPr="008E1425" w:rsidRDefault="002045E8" w:rsidP="009415A3">
      <w:pPr>
        <w:tabs>
          <w:tab w:val="right" w:pos="9360"/>
        </w:tabs>
        <w:spacing w:after="0" w:line="240" w:lineRule="auto"/>
        <w:rPr>
          <w:color w:val="000000" w:themeColor="text1"/>
          <w:szCs w:val="20"/>
        </w:rPr>
      </w:pPr>
      <w:r w:rsidRPr="008E1425">
        <w:rPr>
          <w:color w:val="000000" w:themeColor="text1"/>
          <w:szCs w:val="20"/>
        </w:rPr>
        <w:t>Legal Framework:</w:t>
      </w:r>
      <w:r w:rsidR="00CE5EEE">
        <w:rPr>
          <w:color w:val="000000" w:themeColor="text1"/>
          <w:szCs w:val="20"/>
        </w:rPr>
        <w:t xml:space="preserve">  </w:t>
      </w:r>
      <w:hyperlink r:id="rId8" w:history="1">
        <w:r w:rsidR="002C1DFD">
          <w:rPr>
            <w:rStyle w:val="Hyperlink"/>
            <w:color w:val="0000FF"/>
            <w:szCs w:val="20"/>
          </w:rPr>
          <w:t>Confidentiality of Information</w:t>
        </w:r>
      </w:hyperlink>
      <w:r w:rsidRPr="008E1425">
        <w:rPr>
          <w:color w:val="000000" w:themeColor="text1"/>
          <w:szCs w:val="20"/>
        </w:rPr>
        <w:t xml:space="preserve"> </w:t>
      </w:r>
    </w:p>
    <w:p w14:paraId="7B6B8B26" w14:textId="576733BC" w:rsidR="002045E8" w:rsidRPr="009415A3" w:rsidRDefault="002045E8" w:rsidP="009415A3">
      <w:pPr>
        <w:tabs>
          <w:tab w:val="right" w:pos="9360"/>
        </w:tabs>
        <w:spacing w:after="0" w:line="240" w:lineRule="auto"/>
        <w:rPr>
          <w:color w:val="000000" w:themeColor="text1"/>
          <w:szCs w:val="20"/>
        </w:rPr>
      </w:pPr>
      <w:r w:rsidRPr="008E1425">
        <w:rPr>
          <w:color w:val="000000" w:themeColor="text1"/>
          <w:szCs w:val="20"/>
        </w:rPr>
        <w:t>Category:</w:t>
      </w:r>
      <w:r w:rsidR="00C24BAB">
        <w:rPr>
          <w:color w:val="000000" w:themeColor="text1"/>
          <w:szCs w:val="20"/>
        </w:rPr>
        <w:t xml:space="preserve">  </w:t>
      </w:r>
      <w:r w:rsidR="00BE4D54">
        <w:rPr>
          <w:color w:val="000000" w:themeColor="text1"/>
          <w:szCs w:val="20"/>
        </w:rPr>
        <w:t>Records</w:t>
      </w:r>
      <w:r w:rsidR="009415A3">
        <w:rPr>
          <w:color w:val="000099"/>
          <w:szCs w:val="20"/>
        </w:rPr>
        <w:tab/>
      </w:r>
      <w:r w:rsidR="009415A3" w:rsidRPr="009415A3">
        <w:rPr>
          <w:color w:val="000000" w:themeColor="text1"/>
          <w:sz w:val="12"/>
          <w:szCs w:val="12"/>
        </w:rPr>
        <w:t xml:space="preserve">Template </w:t>
      </w:r>
      <w:r w:rsidR="00482E17">
        <w:rPr>
          <w:color w:val="000000" w:themeColor="text1"/>
          <w:sz w:val="12"/>
          <w:szCs w:val="12"/>
        </w:rPr>
        <w:t xml:space="preserve">update </w:t>
      </w:r>
      <w:r w:rsidR="00BA5D25">
        <w:rPr>
          <w:color w:val="000000" w:themeColor="text1"/>
          <w:sz w:val="12"/>
          <w:szCs w:val="12"/>
        </w:rPr>
        <w:t>Feb 2018</w:t>
      </w:r>
    </w:p>
    <w:p w14:paraId="67C61821" w14:textId="77777777" w:rsidR="000C551A" w:rsidRPr="009415A3" w:rsidRDefault="000C551A" w:rsidP="00FC4DAA">
      <w:pPr>
        <w:spacing w:after="0" w:line="240" w:lineRule="auto"/>
        <w:rPr>
          <w:color w:val="000000" w:themeColor="text1"/>
        </w:rPr>
      </w:pPr>
    </w:p>
    <w:p w14:paraId="35989669" w14:textId="77777777" w:rsidR="002C1DFD" w:rsidRPr="002C1DFD" w:rsidRDefault="002C1DFD" w:rsidP="002C1DFD">
      <w:pPr>
        <w:spacing w:after="0" w:line="240" w:lineRule="auto"/>
        <w:jc w:val="both"/>
        <w:rPr>
          <w:rFonts w:eastAsia="Times New Roman" w:cs="Times New Roman"/>
          <w:bCs/>
          <w:color w:val="auto"/>
          <w:szCs w:val="20"/>
        </w:rPr>
      </w:pPr>
      <w:r w:rsidRPr="002C1DFD">
        <w:rPr>
          <w:rFonts w:eastAsia="Times New Roman" w:cs="Times New Roman"/>
          <w:bCs/>
          <w:color w:val="auto"/>
          <w:szCs w:val="20"/>
        </w:rPr>
        <w:t xml:space="preserve">“The Part B Confidentiality of Information regulations contain many of the same provisions that exist under </w:t>
      </w:r>
      <w:r w:rsidR="00482E17">
        <w:rPr>
          <w:rFonts w:eastAsia="Times New Roman" w:cs="Times New Roman"/>
          <w:bCs/>
          <w:color w:val="auto"/>
          <w:szCs w:val="20"/>
        </w:rPr>
        <w:t xml:space="preserve">[Family Educational Rights and Privacy Act] </w:t>
      </w:r>
      <w:r w:rsidRPr="002C1DFD">
        <w:rPr>
          <w:rFonts w:eastAsia="Times New Roman" w:cs="Times New Roman"/>
          <w:bCs/>
          <w:color w:val="auto"/>
          <w:szCs w:val="20"/>
        </w:rPr>
        <w:t>FERPA and some that do not; the Part B Confidentiality of Information regulations apply to participating agencies whether or not the participating agency is an ‘educational agency or institution’ subject to FERPA. For example, all persons collecting or using personally identifiable information must receive training or instruction concerning the State's policies and procedures for ensuring confidentiality under Part B and FERPA, whether or not the persons are educational agencies or institutions. 34 C.F.R. §</w:t>
      </w:r>
      <w:r w:rsidR="0088584F">
        <w:t> </w:t>
      </w:r>
      <w:r w:rsidRPr="002C1DFD">
        <w:rPr>
          <w:rFonts w:eastAsia="Times New Roman" w:cs="Times New Roman"/>
          <w:bCs/>
          <w:color w:val="auto"/>
          <w:szCs w:val="20"/>
        </w:rPr>
        <w:t>300.623(c). This requirement is part of the Secretary's responsibility in accordance with FERPA to ‘take appropriate action</w:t>
      </w:r>
      <w:r w:rsidR="0088584F">
        <w:rPr>
          <w:rFonts w:eastAsia="Times New Roman" w:cs="Times New Roman"/>
          <w:bCs/>
          <w:color w:val="auto"/>
          <w:szCs w:val="20"/>
        </w:rPr>
        <w:t> </w:t>
      </w:r>
      <w:r w:rsidR="00482E17">
        <w:rPr>
          <w:rFonts w:eastAsia="Times New Roman" w:cs="Times New Roman"/>
          <w:bCs/>
          <w:color w:val="auto"/>
          <w:szCs w:val="20"/>
        </w:rPr>
        <w:t>.</w:t>
      </w:r>
      <w:r w:rsidR="0088584F">
        <w:rPr>
          <w:rFonts w:eastAsia="Times New Roman" w:cs="Times New Roman"/>
          <w:bCs/>
          <w:color w:val="auto"/>
          <w:szCs w:val="20"/>
        </w:rPr>
        <w:t> </w:t>
      </w:r>
      <w:r w:rsidR="00482E17">
        <w:rPr>
          <w:rFonts w:eastAsia="Times New Roman" w:cs="Times New Roman"/>
          <w:bCs/>
          <w:color w:val="auto"/>
          <w:szCs w:val="20"/>
        </w:rPr>
        <w:t>.</w:t>
      </w:r>
      <w:r w:rsidR="0088584F">
        <w:rPr>
          <w:rFonts w:eastAsia="Times New Roman" w:cs="Times New Roman"/>
          <w:bCs/>
          <w:color w:val="auto"/>
          <w:szCs w:val="20"/>
        </w:rPr>
        <w:t> </w:t>
      </w:r>
      <w:r w:rsidR="00482E17">
        <w:rPr>
          <w:rFonts w:eastAsia="Times New Roman" w:cs="Times New Roman"/>
          <w:bCs/>
          <w:color w:val="auto"/>
          <w:szCs w:val="20"/>
        </w:rPr>
        <w:t>.</w:t>
      </w:r>
      <w:r w:rsidR="0088584F">
        <w:rPr>
          <w:rFonts w:eastAsia="Times New Roman" w:cs="Times New Roman"/>
          <w:bCs/>
          <w:color w:val="auto"/>
          <w:szCs w:val="20"/>
        </w:rPr>
        <w:t> </w:t>
      </w:r>
      <w:r w:rsidRPr="002C1DFD">
        <w:rPr>
          <w:rFonts w:eastAsia="Times New Roman" w:cs="Times New Roman"/>
          <w:bCs/>
          <w:color w:val="auto"/>
          <w:szCs w:val="20"/>
        </w:rPr>
        <w:t>to ensure the protection of the confidentiality of any personally identifiable data, information, and records collected or maintained’ by a state or local educational agency pursuant to Part B. 34 C.F.R. §</w:t>
      </w:r>
      <w:r w:rsidR="0088584F">
        <w:rPr>
          <w:rFonts w:eastAsia="Times New Roman" w:cs="Times New Roman"/>
          <w:bCs/>
          <w:color w:val="auto"/>
          <w:szCs w:val="20"/>
        </w:rPr>
        <w:t> </w:t>
      </w:r>
      <w:r w:rsidRPr="002C1DFD">
        <w:rPr>
          <w:rFonts w:eastAsia="Times New Roman" w:cs="Times New Roman"/>
          <w:bCs/>
          <w:color w:val="auto"/>
          <w:szCs w:val="20"/>
        </w:rPr>
        <w:t xml:space="preserve">300.610.” </w:t>
      </w:r>
      <w:r w:rsidR="0088584F">
        <w:rPr>
          <w:rFonts w:eastAsia="Times New Roman" w:cs="Times New Roman"/>
          <w:bCs/>
          <w:color w:val="auto"/>
          <w:szCs w:val="20"/>
        </w:rPr>
        <w:t xml:space="preserve"> </w:t>
      </w:r>
      <w:hyperlink r:id="rId9" w:history="1">
        <w:r w:rsidRPr="002C1DFD">
          <w:rPr>
            <w:rFonts w:eastAsia="Times New Roman" w:cs="Times New Roman"/>
            <w:bCs/>
            <w:i/>
            <w:color w:val="0000FF"/>
            <w:szCs w:val="20"/>
            <w:u w:val="single"/>
          </w:rPr>
          <w:t>OSEP Letter to Copenhaver</w:t>
        </w:r>
        <w:r w:rsidRPr="002C1DFD">
          <w:rPr>
            <w:rFonts w:eastAsia="Times New Roman" w:cs="Times New Roman"/>
            <w:bCs/>
            <w:color w:val="0000FF"/>
            <w:szCs w:val="20"/>
            <w:u w:val="single"/>
          </w:rPr>
          <w:t xml:space="preserve"> (April 17, 2008)</w:t>
        </w:r>
      </w:hyperlink>
      <w:r w:rsidRPr="002C1DFD">
        <w:rPr>
          <w:rFonts w:eastAsia="Times New Roman" w:cs="Times New Roman"/>
          <w:bCs/>
          <w:color w:val="auto"/>
          <w:szCs w:val="20"/>
        </w:rPr>
        <w:t>.</w:t>
      </w:r>
    </w:p>
    <w:p w14:paraId="39CF0D9E" w14:textId="77777777" w:rsidR="002C1DFD" w:rsidRPr="002C1DFD" w:rsidRDefault="002C1DFD" w:rsidP="002C1DFD">
      <w:pPr>
        <w:spacing w:after="0" w:line="240" w:lineRule="auto"/>
        <w:jc w:val="both"/>
        <w:rPr>
          <w:rFonts w:eastAsia="Times New Roman" w:cs="Times New Roman"/>
          <w:bCs/>
          <w:color w:val="auto"/>
          <w:szCs w:val="20"/>
        </w:rPr>
      </w:pPr>
    </w:p>
    <w:p w14:paraId="574A2736" w14:textId="77777777" w:rsidR="002C1DFD" w:rsidRPr="002C1DFD" w:rsidRDefault="002C1DFD" w:rsidP="002C1DFD">
      <w:pPr>
        <w:spacing w:after="0" w:line="240" w:lineRule="auto"/>
        <w:jc w:val="both"/>
        <w:rPr>
          <w:rFonts w:eastAsia="Times New Roman" w:cs="Times New Roman"/>
          <w:bCs/>
          <w:color w:val="auto"/>
          <w:szCs w:val="20"/>
        </w:rPr>
      </w:pPr>
      <w:r w:rsidRPr="002C1DFD">
        <w:rPr>
          <w:rFonts w:eastAsia="Times New Roman" w:cs="Times New Roman"/>
          <w:bCs/>
          <w:color w:val="auto"/>
          <w:szCs w:val="20"/>
        </w:rPr>
        <w:t>“The Part B Confidentiality of Information regulations contain many of the same privacy protections that exist in FERPA and, as pointed out in your letter, some that do not exist in FERPA or that go beyond FERPA requirements.</w:t>
      </w:r>
      <w:r w:rsidR="0088584F">
        <w:rPr>
          <w:rFonts w:eastAsia="Times New Roman" w:cs="Times New Roman"/>
          <w:bCs/>
          <w:color w:val="auto"/>
          <w:szCs w:val="20"/>
        </w:rPr>
        <w:t> </w:t>
      </w:r>
      <w:r w:rsidR="00482E17">
        <w:rPr>
          <w:rFonts w:eastAsia="Times New Roman" w:cs="Times New Roman"/>
          <w:bCs/>
          <w:color w:val="auto"/>
          <w:szCs w:val="20"/>
        </w:rPr>
        <w:t>.</w:t>
      </w:r>
      <w:r w:rsidR="0088584F">
        <w:rPr>
          <w:rFonts w:eastAsia="Times New Roman" w:cs="Times New Roman"/>
          <w:bCs/>
          <w:color w:val="auto"/>
          <w:szCs w:val="20"/>
        </w:rPr>
        <w:t> </w:t>
      </w:r>
      <w:r w:rsidR="00482E17">
        <w:rPr>
          <w:rFonts w:eastAsia="Times New Roman" w:cs="Times New Roman"/>
          <w:bCs/>
          <w:color w:val="auto"/>
          <w:szCs w:val="20"/>
        </w:rPr>
        <w:t>.</w:t>
      </w:r>
      <w:r w:rsidR="0088584F">
        <w:rPr>
          <w:rFonts w:eastAsia="Times New Roman" w:cs="Times New Roman"/>
          <w:bCs/>
          <w:color w:val="auto"/>
          <w:szCs w:val="20"/>
        </w:rPr>
        <w:t> </w:t>
      </w:r>
      <w:r w:rsidR="00482E17">
        <w:rPr>
          <w:rFonts w:eastAsia="Times New Roman" w:cs="Times New Roman"/>
          <w:bCs/>
          <w:color w:val="auto"/>
          <w:szCs w:val="20"/>
        </w:rPr>
        <w:t>.</w:t>
      </w:r>
      <w:r w:rsidR="0088584F">
        <w:rPr>
          <w:rFonts w:eastAsia="Times New Roman" w:cs="Times New Roman"/>
          <w:bCs/>
          <w:color w:val="auto"/>
          <w:szCs w:val="20"/>
        </w:rPr>
        <w:t> </w:t>
      </w:r>
      <w:r w:rsidRPr="002C1DFD">
        <w:rPr>
          <w:rFonts w:eastAsia="Times New Roman" w:cs="Times New Roman"/>
          <w:bCs/>
          <w:color w:val="auto"/>
          <w:szCs w:val="20"/>
        </w:rPr>
        <w:t xml:space="preserve">The following are among those provisions in the Part B of the </w:t>
      </w:r>
      <w:r w:rsidR="00482E17">
        <w:rPr>
          <w:rFonts w:eastAsia="Times New Roman" w:cs="Times New Roman"/>
          <w:bCs/>
          <w:color w:val="auto"/>
          <w:szCs w:val="20"/>
        </w:rPr>
        <w:t xml:space="preserve">[Individuals with Disabilities Education Act] </w:t>
      </w:r>
      <w:r w:rsidRPr="002C1DFD">
        <w:rPr>
          <w:rFonts w:eastAsia="Times New Roman" w:cs="Times New Roman"/>
          <w:bCs/>
          <w:color w:val="auto"/>
          <w:szCs w:val="20"/>
        </w:rPr>
        <w:t>IDEA Confidentiality of Information regulations that have no counterpart in FERPA or that provide protections beyond those provided by FERPA</w:t>
      </w:r>
      <w:r w:rsidR="0088584F">
        <w:rPr>
          <w:rFonts w:eastAsia="Times New Roman" w:cs="Times New Roman"/>
          <w:bCs/>
          <w:color w:val="auto"/>
          <w:szCs w:val="20"/>
        </w:rPr>
        <w:t> </w:t>
      </w:r>
      <w:r w:rsidR="00482E17">
        <w:rPr>
          <w:rFonts w:eastAsia="Times New Roman" w:cs="Times New Roman"/>
          <w:bCs/>
          <w:color w:val="auto"/>
          <w:szCs w:val="20"/>
        </w:rPr>
        <w:t>.</w:t>
      </w:r>
      <w:r w:rsidR="0088584F">
        <w:rPr>
          <w:rFonts w:eastAsia="Times New Roman" w:cs="Times New Roman"/>
          <w:bCs/>
          <w:color w:val="auto"/>
          <w:szCs w:val="20"/>
        </w:rPr>
        <w:t> </w:t>
      </w:r>
      <w:r w:rsidR="00482E17">
        <w:rPr>
          <w:rFonts w:eastAsia="Times New Roman" w:cs="Times New Roman"/>
          <w:bCs/>
          <w:color w:val="auto"/>
          <w:szCs w:val="20"/>
        </w:rPr>
        <w:t>.</w:t>
      </w:r>
      <w:r w:rsidR="0088584F">
        <w:rPr>
          <w:rFonts w:eastAsia="Times New Roman" w:cs="Times New Roman"/>
          <w:bCs/>
          <w:color w:val="auto"/>
          <w:szCs w:val="20"/>
        </w:rPr>
        <w:t> </w:t>
      </w:r>
      <w:r w:rsidR="00482E17">
        <w:rPr>
          <w:rFonts w:eastAsia="Times New Roman" w:cs="Times New Roman"/>
          <w:bCs/>
          <w:color w:val="auto"/>
          <w:szCs w:val="20"/>
        </w:rPr>
        <w:t>.</w:t>
      </w:r>
      <w:r w:rsidR="0088584F">
        <w:rPr>
          <w:rFonts w:eastAsia="Times New Roman" w:cs="Times New Roman"/>
          <w:bCs/>
          <w:color w:val="auto"/>
          <w:szCs w:val="20"/>
        </w:rPr>
        <w:t> </w:t>
      </w:r>
      <w:r w:rsidRPr="002C1DFD">
        <w:rPr>
          <w:rFonts w:eastAsia="Times New Roman" w:cs="Times New Roman"/>
          <w:bCs/>
          <w:color w:val="auto"/>
          <w:szCs w:val="20"/>
        </w:rPr>
        <w:t>34 CFR §</w:t>
      </w:r>
      <w:r w:rsidR="0088584F">
        <w:rPr>
          <w:rFonts w:eastAsia="Times New Roman" w:cs="Times New Roman"/>
          <w:bCs/>
          <w:color w:val="auto"/>
          <w:szCs w:val="20"/>
        </w:rPr>
        <w:t> </w:t>
      </w:r>
      <w:r w:rsidRPr="002C1DFD">
        <w:rPr>
          <w:rFonts w:eastAsia="Times New Roman" w:cs="Times New Roman"/>
          <w:bCs/>
          <w:color w:val="auto"/>
          <w:szCs w:val="20"/>
        </w:rPr>
        <w:t xml:space="preserve">300.623, </w:t>
      </w:r>
      <w:r w:rsidRPr="0088584F">
        <w:rPr>
          <w:rFonts w:eastAsia="Times New Roman" w:cs="Times New Roman"/>
          <w:bCs/>
          <w:color w:val="auto"/>
          <w:szCs w:val="20"/>
        </w:rPr>
        <w:t>safeguards</w:t>
      </w:r>
      <w:r w:rsidR="0088584F" w:rsidRPr="0088584F">
        <w:rPr>
          <w:rFonts w:eastAsia="Times New Roman" w:cs="Times New Roman"/>
          <w:bCs/>
          <w:color w:val="auto"/>
          <w:szCs w:val="20"/>
        </w:rPr>
        <w:t> </w:t>
      </w:r>
      <w:r w:rsidR="00482E17" w:rsidRPr="0088584F">
        <w:rPr>
          <w:rFonts w:eastAsia="Times New Roman" w:cs="Times New Roman"/>
          <w:bCs/>
          <w:color w:val="auto"/>
          <w:szCs w:val="20"/>
        </w:rPr>
        <w:t>.</w:t>
      </w:r>
      <w:r w:rsidR="0088584F" w:rsidRPr="0088584F">
        <w:rPr>
          <w:rFonts w:eastAsia="Times New Roman" w:cs="Times New Roman"/>
          <w:bCs/>
          <w:color w:val="auto"/>
          <w:szCs w:val="20"/>
        </w:rPr>
        <w:t> </w:t>
      </w:r>
      <w:r w:rsidR="00482E17" w:rsidRPr="0088584F">
        <w:rPr>
          <w:rFonts w:eastAsia="Times New Roman" w:cs="Times New Roman"/>
          <w:bCs/>
          <w:color w:val="auto"/>
          <w:szCs w:val="20"/>
        </w:rPr>
        <w:t>.</w:t>
      </w:r>
      <w:r w:rsidR="0088584F" w:rsidRPr="0088584F">
        <w:rPr>
          <w:rFonts w:eastAsia="Times New Roman" w:cs="Times New Roman"/>
          <w:bCs/>
          <w:color w:val="auto"/>
          <w:szCs w:val="20"/>
        </w:rPr>
        <w:t> </w:t>
      </w:r>
      <w:r w:rsidR="00482E17" w:rsidRPr="0088584F">
        <w:rPr>
          <w:rFonts w:eastAsia="Times New Roman" w:cs="Times New Roman"/>
          <w:bCs/>
          <w:color w:val="auto"/>
          <w:szCs w:val="20"/>
        </w:rPr>
        <w:t>.</w:t>
      </w:r>
      <w:r w:rsidRPr="0088584F">
        <w:rPr>
          <w:rFonts w:eastAsia="Times New Roman" w:cs="Times New Roman"/>
          <w:bCs/>
          <w:color w:val="auto"/>
          <w:szCs w:val="20"/>
        </w:rPr>
        <w:t>”</w:t>
      </w:r>
      <w:r w:rsidRPr="002C1DFD">
        <w:rPr>
          <w:rFonts w:eastAsia="Times New Roman" w:cs="Times New Roman"/>
          <w:bCs/>
          <w:color w:val="auto"/>
          <w:szCs w:val="20"/>
        </w:rPr>
        <w:t xml:space="preserve">  </w:t>
      </w:r>
      <w:hyperlink r:id="rId10" w:history="1">
        <w:r w:rsidRPr="002C1DFD">
          <w:rPr>
            <w:rFonts w:eastAsia="Times New Roman" w:cs="Times New Roman"/>
            <w:bCs/>
            <w:i/>
            <w:color w:val="0000FF"/>
            <w:szCs w:val="20"/>
            <w:u w:val="single"/>
          </w:rPr>
          <w:t>OSEP Letter to Anderson</w:t>
        </w:r>
        <w:r w:rsidRPr="002C1DFD">
          <w:rPr>
            <w:rFonts w:eastAsia="Times New Roman" w:cs="Times New Roman"/>
            <w:bCs/>
            <w:color w:val="0000FF"/>
            <w:szCs w:val="20"/>
            <w:u w:val="single"/>
          </w:rPr>
          <w:t xml:space="preserve"> (March 7, 2008)</w:t>
        </w:r>
      </w:hyperlink>
      <w:r w:rsidRPr="002C1DFD">
        <w:rPr>
          <w:rFonts w:eastAsia="Times New Roman" w:cs="Times New Roman"/>
          <w:bCs/>
          <w:color w:val="auto"/>
          <w:szCs w:val="20"/>
        </w:rPr>
        <w:t>.</w:t>
      </w:r>
    </w:p>
    <w:p w14:paraId="52CF2107" w14:textId="77777777" w:rsidR="002C1DFD" w:rsidRPr="002C1DFD" w:rsidRDefault="002C1DFD" w:rsidP="002C1DFD">
      <w:pPr>
        <w:spacing w:after="0" w:line="240" w:lineRule="auto"/>
        <w:jc w:val="both"/>
        <w:rPr>
          <w:rFonts w:eastAsia="Times New Roman" w:cs="Times New Roman"/>
          <w:bCs/>
          <w:color w:val="auto"/>
          <w:szCs w:val="20"/>
        </w:rPr>
      </w:pPr>
    </w:p>
    <w:p w14:paraId="6F32DE49" w14:textId="77777777" w:rsidR="002C1DFD" w:rsidRPr="002C1DFD" w:rsidRDefault="002C1DFD" w:rsidP="002C1DFD">
      <w:pPr>
        <w:spacing w:after="0" w:line="240" w:lineRule="auto"/>
        <w:jc w:val="both"/>
        <w:rPr>
          <w:rFonts w:eastAsia="Times New Roman" w:cs="Times New Roman"/>
          <w:bCs/>
          <w:color w:val="auto"/>
          <w:szCs w:val="20"/>
        </w:rPr>
      </w:pPr>
      <w:r w:rsidRPr="002C1DFD">
        <w:rPr>
          <w:rFonts w:eastAsia="Times New Roman" w:cs="Times New Roman"/>
          <w:bCs/>
          <w:color w:val="auto"/>
          <w:szCs w:val="20"/>
        </w:rPr>
        <w:t>“The Department strives to maintain consistency in its interpretations of the confidentiality requirements in IDEA and FERPA, each of which governs the disclosure of personally identifiable student information without consent for purposes of enforcement of or compliance with IDEA requirements.”</w:t>
      </w:r>
      <w:r w:rsidR="0088584F">
        <w:rPr>
          <w:rFonts w:eastAsia="Times New Roman" w:cs="Times New Roman"/>
          <w:bCs/>
          <w:color w:val="auto"/>
          <w:szCs w:val="20"/>
        </w:rPr>
        <w:t xml:space="preserve"> </w:t>
      </w:r>
      <w:r w:rsidRPr="002C1DFD">
        <w:rPr>
          <w:rFonts w:eastAsia="Times New Roman" w:cs="Times New Roman"/>
          <w:bCs/>
          <w:i/>
          <w:color w:val="auto"/>
          <w:szCs w:val="20"/>
        </w:rPr>
        <w:t xml:space="preserve"> </w:t>
      </w:r>
      <w:hyperlink r:id="rId11" w:history="1">
        <w:r w:rsidRPr="002C1DFD">
          <w:rPr>
            <w:rFonts w:eastAsia="Times New Roman" w:cs="Times New Roman"/>
            <w:bCs/>
            <w:i/>
            <w:color w:val="0000FF"/>
            <w:szCs w:val="20"/>
            <w:u w:val="single"/>
          </w:rPr>
          <w:t>OSEP Letter to Copenhaver</w:t>
        </w:r>
        <w:r w:rsidRPr="002C1DFD">
          <w:rPr>
            <w:rFonts w:eastAsia="Times New Roman" w:cs="Times New Roman"/>
            <w:bCs/>
            <w:color w:val="0000FF"/>
            <w:szCs w:val="20"/>
            <w:u w:val="single"/>
          </w:rPr>
          <w:t xml:space="preserve"> (April 17, 2008)</w:t>
        </w:r>
      </w:hyperlink>
      <w:r w:rsidRPr="002C1DFD">
        <w:rPr>
          <w:rFonts w:eastAsia="Times New Roman" w:cs="Times New Roman"/>
          <w:bCs/>
          <w:color w:val="auto"/>
          <w:szCs w:val="20"/>
        </w:rPr>
        <w:t>.</w:t>
      </w:r>
    </w:p>
    <w:p w14:paraId="0D868112" w14:textId="77777777" w:rsidR="002C1DFD" w:rsidRPr="002C1DFD" w:rsidRDefault="002C1DFD" w:rsidP="002C1DFD">
      <w:pPr>
        <w:spacing w:after="0" w:line="240" w:lineRule="auto"/>
        <w:jc w:val="both"/>
        <w:rPr>
          <w:rFonts w:eastAsia="Times New Roman" w:cs="Times New Roman"/>
          <w:bCs/>
          <w:color w:val="auto"/>
          <w:szCs w:val="20"/>
        </w:rPr>
      </w:pPr>
    </w:p>
    <w:p w14:paraId="7C124E67" w14:textId="7DE55315" w:rsidR="002C1DFD" w:rsidRPr="002C1DFD" w:rsidRDefault="002C1DFD" w:rsidP="002C1DFD">
      <w:pPr>
        <w:spacing w:after="0" w:line="240" w:lineRule="auto"/>
        <w:jc w:val="both"/>
        <w:rPr>
          <w:rFonts w:eastAsia="Times New Roman" w:cs="Times New Roman"/>
          <w:color w:val="auto"/>
          <w:szCs w:val="20"/>
        </w:rPr>
      </w:pPr>
      <w:r w:rsidRPr="002C1DFD">
        <w:rPr>
          <w:rFonts w:eastAsia="Times New Roman" w:cs="Times New Roman"/>
          <w:color w:val="auto"/>
          <w:szCs w:val="20"/>
        </w:rPr>
        <w:t>“</w:t>
      </w:r>
      <w:r w:rsidR="00BA678D">
        <w:rPr>
          <w:rFonts w:eastAsia="Times New Roman" w:cs="Times New Roman"/>
          <w:color w:val="auto"/>
          <w:szCs w:val="20"/>
        </w:rPr>
        <w:t>R</w:t>
      </w:r>
      <w:r w:rsidRPr="002C1DFD">
        <w:rPr>
          <w:rFonts w:eastAsia="Times New Roman" w:cs="Times New Roman"/>
          <w:color w:val="auto"/>
          <w:szCs w:val="20"/>
        </w:rPr>
        <w:t>ecords that identify a student by initials, nicknames, or personal characteristics are personally identifiable information if, alone or combined with other information, the initials are linked or linkable to a specific student and would allow a reasonable person in the school community who does not have personal knowledge about the situation to identify the student with reasonable certainty. For example, if teachers and other individuals in the school community generally would not be able to identify a specific student based on the student’s initials, nickname, or personal characteristics contained in the record, then the information is not considered personally identifiable and may be released without consent. Experience has shown, however, that initials, nicknames, and personal characteristics are often sufficiently unique in a school community that a reasonable person can identify the student from this kind of information even without access to any personal knowledge, such as a key that specifically links the initials, nickname, or personal characteristics to the student. In contrast, if a teacher uses a special code known only by the teacher and the student (or parent) to identify a student, such as for posting grades, this code is not considered personally identifiable information under FERPA because the only reason the teacher can identify the student is because of the teacher’s access to personal knowledge of the relevant circumstances, i.e., the key that links the code to the student’s name.”  73 Fed. Reg. 74831 (2008).</w:t>
      </w:r>
    </w:p>
    <w:p w14:paraId="6556AE77" w14:textId="77777777" w:rsidR="002C1DFD" w:rsidRPr="002C1DFD" w:rsidRDefault="002C1DFD" w:rsidP="002C1DFD">
      <w:pPr>
        <w:spacing w:after="0" w:line="240" w:lineRule="auto"/>
        <w:jc w:val="both"/>
        <w:rPr>
          <w:rFonts w:eastAsia="Times New Roman" w:cs="Times New Roman"/>
          <w:color w:val="auto"/>
          <w:szCs w:val="20"/>
        </w:rPr>
      </w:pPr>
    </w:p>
    <w:p w14:paraId="496FFE8B" w14:textId="77777777" w:rsidR="002C1DFD" w:rsidRDefault="002C1DFD" w:rsidP="002C1DFD">
      <w:pPr>
        <w:spacing w:after="0" w:line="240" w:lineRule="auto"/>
        <w:jc w:val="both"/>
        <w:rPr>
          <w:rFonts w:eastAsia="Times New Roman" w:cs="Times New Roman"/>
          <w:color w:val="auto"/>
          <w:szCs w:val="20"/>
        </w:rPr>
      </w:pPr>
      <w:r w:rsidRPr="002C1DFD">
        <w:rPr>
          <w:rFonts w:eastAsia="Times New Roman" w:cs="Times New Roman"/>
          <w:color w:val="auto"/>
          <w:szCs w:val="20"/>
        </w:rPr>
        <w:t xml:space="preserve">“A class roster or sign-in sheet that contains or requires students to affix their </w:t>
      </w:r>
      <w:r w:rsidR="00482E17">
        <w:rPr>
          <w:rFonts w:eastAsia="Times New Roman" w:cs="Times New Roman"/>
          <w:color w:val="auto"/>
          <w:szCs w:val="20"/>
        </w:rPr>
        <w:t xml:space="preserve">[Social Security number] </w:t>
      </w:r>
      <w:r w:rsidRPr="002C1DFD">
        <w:rPr>
          <w:rFonts w:eastAsia="Times New Roman" w:cs="Times New Roman"/>
          <w:color w:val="auto"/>
          <w:szCs w:val="20"/>
        </w:rPr>
        <w:t xml:space="preserve">SSN or non-directory student ID number makes that information available to every </w:t>
      </w:r>
      <w:r w:rsidRPr="002C1DFD">
        <w:rPr>
          <w:rFonts w:eastAsia="Times New Roman" w:cs="Times New Roman"/>
          <w:color w:val="auto"/>
          <w:szCs w:val="20"/>
        </w:rPr>
        <w:lastRenderedPageBreak/>
        <w:t xml:space="preserve">individual who signs in or sees the document and increases the risk that the information may be improperly used for purposes such as identity theft or to find out a student’s grades or other confidential educational information. In regard to posting grades, an individual who knows which classes a particular student attends may be able to ascertain that student’s SSN or nondirectory student ID number by comparing class lists for repeat numbers. Because SSNs are not randomly generated, it may be possible to identify a student by State of origin based on the first three (area) digits of the number, or by date of issuance based on the two middle digits.” </w:t>
      </w:r>
      <w:r w:rsidR="0088584F">
        <w:rPr>
          <w:rFonts w:eastAsia="Times New Roman" w:cs="Times New Roman"/>
          <w:color w:val="auto"/>
          <w:szCs w:val="20"/>
        </w:rPr>
        <w:t xml:space="preserve"> </w:t>
      </w:r>
      <w:r w:rsidRPr="002C1DFD">
        <w:rPr>
          <w:rFonts w:eastAsia="Times New Roman" w:cs="Times New Roman"/>
          <w:color w:val="auto"/>
          <w:szCs w:val="20"/>
        </w:rPr>
        <w:t>73 Fed. Reg. 74845 (2008).</w:t>
      </w:r>
    </w:p>
    <w:p w14:paraId="6885093D" w14:textId="77777777" w:rsidR="002B2B15" w:rsidRDefault="002B2B15" w:rsidP="002C1DFD">
      <w:pPr>
        <w:spacing w:after="0" w:line="240" w:lineRule="auto"/>
        <w:jc w:val="both"/>
        <w:rPr>
          <w:rFonts w:eastAsia="Times New Roman" w:cs="Times New Roman"/>
          <w:color w:val="auto"/>
          <w:szCs w:val="20"/>
        </w:rPr>
      </w:pPr>
    </w:p>
    <w:p w14:paraId="52C054D5" w14:textId="77777777" w:rsidR="002B2B15" w:rsidRDefault="002B2B15" w:rsidP="002C1DFD">
      <w:pPr>
        <w:spacing w:after="0" w:line="240" w:lineRule="auto"/>
        <w:jc w:val="both"/>
        <w:rPr>
          <w:rFonts w:eastAsia="Times New Roman" w:cs="Times New Roman"/>
          <w:b/>
          <w:color w:val="auto"/>
          <w:szCs w:val="20"/>
          <w:u w:val="single"/>
        </w:rPr>
      </w:pPr>
      <w:r w:rsidRPr="002A5B1D">
        <w:rPr>
          <w:rFonts w:eastAsia="Times New Roman" w:cs="Times New Roman"/>
          <w:b/>
          <w:color w:val="auto"/>
          <w:szCs w:val="20"/>
          <w:u w:val="single"/>
        </w:rPr>
        <w:t>Application Guidance</w:t>
      </w:r>
    </w:p>
    <w:p w14:paraId="378349E5" w14:textId="77777777" w:rsidR="00DF5B98" w:rsidRDefault="00DF5B98" w:rsidP="002C1DFD">
      <w:pPr>
        <w:spacing w:after="0" w:line="240" w:lineRule="auto"/>
        <w:jc w:val="both"/>
        <w:rPr>
          <w:rFonts w:eastAsia="Times New Roman" w:cs="Times New Roman"/>
          <w:b/>
          <w:color w:val="auto"/>
          <w:szCs w:val="20"/>
          <w:u w:val="single"/>
        </w:rPr>
      </w:pPr>
    </w:p>
    <w:p w14:paraId="42B699DA" w14:textId="76376639" w:rsidR="00DF5B98" w:rsidRPr="002A5B1D" w:rsidRDefault="00EF6C86" w:rsidP="002A5B1D">
      <w:pPr>
        <w:pStyle w:val="ListParagraph"/>
        <w:numPr>
          <w:ilvl w:val="0"/>
          <w:numId w:val="18"/>
        </w:numPr>
        <w:spacing w:after="0" w:line="240" w:lineRule="auto"/>
        <w:jc w:val="both"/>
        <w:rPr>
          <w:rFonts w:eastAsia="Times New Roman" w:cs="Times New Roman"/>
          <w:color w:val="auto"/>
          <w:szCs w:val="20"/>
        </w:rPr>
      </w:pPr>
      <w:hyperlink r:id="rId12" w:history="1">
        <w:r w:rsidR="00DF5B98" w:rsidRPr="002A5B1D">
          <w:rPr>
            <w:rStyle w:val="Hyperlink"/>
            <w:color w:val="0000FF"/>
          </w:rPr>
          <w:t>Protecting Student Privacy</w:t>
        </w:r>
      </w:hyperlink>
      <w:r w:rsidR="00DF5B98" w:rsidRPr="002A5B1D">
        <w:rPr>
          <w:rFonts w:eastAsia="Times New Roman" w:cs="Times New Roman"/>
          <w:color w:val="auto"/>
          <w:szCs w:val="20"/>
        </w:rPr>
        <w:t xml:space="preserve"> (USDE</w:t>
      </w:r>
      <w:r w:rsidR="00BA5D25" w:rsidRPr="002A5B1D">
        <w:rPr>
          <w:rFonts w:eastAsia="Times New Roman" w:cs="Times New Roman"/>
          <w:color w:val="auto"/>
          <w:szCs w:val="20"/>
        </w:rPr>
        <w:t>)</w:t>
      </w:r>
    </w:p>
    <w:p w14:paraId="13C83B86" w14:textId="5ABF5385" w:rsidR="000947F0" w:rsidRPr="002A5B1D" w:rsidRDefault="00EF6C86" w:rsidP="002A5B1D">
      <w:pPr>
        <w:pStyle w:val="ListParagraph"/>
        <w:numPr>
          <w:ilvl w:val="0"/>
          <w:numId w:val="18"/>
        </w:numPr>
        <w:spacing w:after="0" w:line="240" w:lineRule="auto"/>
        <w:rPr>
          <w:color w:val="auto"/>
        </w:rPr>
      </w:pPr>
      <w:hyperlink r:id="rId13" w:tgtFrame="_blank" w:history="1">
        <w:r w:rsidR="00BA5D25" w:rsidRPr="002A5B1D">
          <w:rPr>
            <w:rStyle w:val="Hyperlink"/>
            <w:color w:val="0000FF"/>
          </w:rPr>
          <w:t>Protecting Student Privacy While Using Online Educational Services: Model Terms of Service</w:t>
        </w:r>
      </w:hyperlink>
      <w:r w:rsidR="00BA5D25">
        <w:rPr>
          <w:color w:val="auto"/>
        </w:rPr>
        <w:t xml:space="preserve"> (USDE)</w:t>
      </w:r>
    </w:p>
    <w:p w14:paraId="15E3228A" w14:textId="77777777" w:rsidR="00BA5D25" w:rsidRDefault="00BA5D25" w:rsidP="006E3F0A">
      <w:pPr>
        <w:spacing w:after="0" w:line="240" w:lineRule="auto"/>
        <w:jc w:val="both"/>
        <w:rPr>
          <w:rFonts w:eastAsia="Times New Roman" w:cs="Times New Roman"/>
          <w:color w:val="auto"/>
          <w:szCs w:val="20"/>
        </w:rPr>
      </w:pPr>
    </w:p>
    <w:p w14:paraId="2626DB83" w14:textId="12B91A8D" w:rsidR="004E2A26" w:rsidRPr="004E2A26" w:rsidRDefault="004E2A26" w:rsidP="006E3F0A">
      <w:pPr>
        <w:spacing w:after="0" w:line="240" w:lineRule="auto"/>
        <w:jc w:val="both"/>
        <w:rPr>
          <w:rFonts w:eastAsia="Times New Roman" w:cs="Times New Roman"/>
          <w:color w:val="auto"/>
          <w:szCs w:val="20"/>
        </w:rPr>
      </w:pPr>
      <w:r w:rsidRPr="002C1DFD">
        <w:rPr>
          <w:rFonts w:eastAsia="Times New Roman" w:cs="Times New Roman"/>
          <w:color w:val="auto"/>
          <w:szCs w:val="20"/>
        </w:rPr>
        <w:t xml:space="preserve">Through </w:t>
      </w:r>
      <w:r w:rsidRPr="004E2A26">
        <w:rPr>
          <w:rFonts w:eastAsia="Times New Roman" w:cs="Times New Roman"/>
          <w:color w:val="auto"/>
          <w:szCs w:val="20"/>
        </w:rPr>
        <w:t>the implementation of the</w:t>
      </w:r>
      <w:r w:rsidR="00FE3E06">
        <w:rPr>
          <w:rFonts w:eastAsia="Times New Roman" w:cs="Times New Roman"/>
          <w:color w:val="auto"/>
          <w:szCs w:val="20"/>
        </w:rPr>
        <w:t xml:space="preserve"> member district</w:t>
      </w:r>
      <w:r w:rsidRPr="004E2A26">
        <w:rPr>
          <w:rFonts w:eastAsia="Times New Roman" w:cs="Times New Roman"/>
          <w:color w:val="auto"/>
          <w:szCs w:val="20"/>
        </w:rPr>
        <w:t xml:space="preserve"> policies and procedures as outlined in the </w:t>
      </w:r>
      <w:hyperlink r:id="rId14" w:history="1">
        <w:r w:rsidRPr="00462709">
          <w:rPr>
            <w:rStyle w:val="Hyperlink"/>
            <w:rFonts w:eastAsia="Times New Roman" w:cs="Times New Roman"/>
            <w:color w:val="0000FF"/>
            <w:szCs w:val="20"/>
          </w:rPr>
          <w:t>Legal Framework</w:t>
        </w:r>
      </w:hyperlink>
      <w:r w:rsidRPr="004E2A26">
        <w:rPr>
          <w:rFonts w:eastAsia="Times New Roman" w:cs="Times New Roman"/>
          <w:color w:val="auto"/>
          <w:szCs w:val="20"/>
        </w:rPr>
        <w:t xml:space="preserve"> for the Child-Centered Special Education Process, the</w:t>
      </w:r>
      <w:r w:rsidR="00FE3E06">
        <w:rPr>
          <w:rFonts w:eastAsia="Times New Roman" w:cs="Times New Roman"/>
          <w:color w:val="auto"/>
          <w:szCs w:val="20"/>
        </w:rPr>
        <w:t xml:space="preserve"> member district</w:t>
      </w:r>
      <w:r w:rsidRPr="004E2A26">
        <w:rPr>
          <w:rFonts w:eastAsia="Times New Roman" w:cs="Times New Roman"/>
          <w:color w:val="auto"/>
          <w:szCs w:val="20"/>
        </w:rPr>
        <w:t xml:space="preserve"> ensures </w:t>
      </w:r>
      <w:r w:rsidR="002C1DFD" w:rsidRPr="002C1DFD">
        <w:rPr>
          <w:rFonts w:eastAsia="Times New Roman" w:cs="Times New Roman"/>
          <w:color w:val="auto"/>
          <w:szCs w:val="20"/>
        </w:rPr>
        <w:t>confidentiality of information as required by the FERPA, IDEA and its accompanying federal regulations, state statutes and regulations</w:t>
      </w:r>
      <w:r w:rsidRPr="004E2A26">
        <w:rPr>
          <w:rFonts w:eastAsia="Times New Roman" w:cs="Times New Roman"/>
          <w:color w:val="auto"/>
          <w:szCs w:val="20"/>
        </w:rPr>
        <w:t>.</w:t>
      </w:r>
    </w:p>
    <w:p w14:paraId="3BBFFC31" w14:textId="77777777" w:rsidR="00E21132" w:rsidRPr="002045E8" w:rsidRDefault="00E21132" w:rsidP="006E3F0A">
      <w:pPr>
        <w:spacing w:after="0" w:line="240" w:lineRule="auto"/>
        <w:jc w:val="both"/>
        <w:rPr>
          <w:rFonts w:eastAsia="Times New Roman" w:cs="Times New Roman"/>
          <w:color w:val="auto"/>
          <w:szCs w:val="20"/>
        </w:rPr>
      </w:pPr>
    </w:p>
    <w:p w14:paraId="2EE02C87" w14:textId="5D4254BE" w:rsidR="00850B01" w:rsidRPr="00626F9B" w:rsidRDefault="00EF6C86" w:rsidP="00626F9B">
      <w:pPr>
        <w:spacing w:after="0" w:line="240" w:lineRule="auto"/>
        <w:rPr>
          <w:szCs w:val="20"/>
        </w:rPr>
      </w:pPr>
      <w:r>
        <w:rPr>
          <w:szCs w:val="20"/>
        </w:rPr>
        <w:pict w14:anchorId="7DDDEB7B">
          <v:rect id="_x0000_i1025" style="width:468pt;height:3pt" o:hralign="center" o:hrstd="t" o:hrnoshade="t" o:hr="t" fillcolor="#0f3966 [3204]" stroked="f"/>
        </w:pict>
      </w:r>
    </w:p>
    <w:p w14:paraId="710E17B4" w14:textId="426235A4" w:rsidR="00E8548F" w:rsidRPr="00F0660D" w:rsidRDefault="00E8548F" w:rsidP="00850B01">
      <w:pPr>
        <w:spacing w:after="0" w:line="240" w:lineRule="auto"/>
        <w:rPr>
          <w:rFonts w:eastAsia="Times New Roman" w:cs="Times New Roman"/>
          <w:color w:val="auto"/>
          <w:szCs w:val="20"/>
          <w:u w:val="single"/>
        </w:rPr>
      </w:pPr>
      <w:r w:rsidRPr="00F0660D">
        <w:rPr>
          <w:rFonts w:eastAsia="Times New Roman" w:cs="Times New Roman"/>
          <w:color w:val="auto"/>
          <w:szCs w:val="20"/>
          <w:u w:val="single"/>
        </w:rPr>
        <w:t>Records Access</w:t>
      </w:r>
    </w:p>
    <w:p w14:paraId="4E62150F" w14:textId="77777777" w:rsidR="00E030A9" w:rsidRDefault="00E8548F" w:rsidP="00E8548F">
      <w:pPr>
        <w:pStyle w:val="NormalWeb"/>
        <w:shd w:val="clear" w:color="auto" w:fill="FFFFFF"/>
        <w:spacing w:before="0" w:beforeAutospacing="0" w:after="0" w:afterAutospacing="0"/>
        <w:ind w:left="360" w:hanging="360"/>
        <w:rPr>
          <w:rFonts w:ascii="Verdana" w:hAnsi="Verdana"/>
          <w:iCs/>
          <w:sz w:val="20"/>
          <w:szCs w:val="20"/>
        </w:rPr>
      </w:pPr>
      <w:r w:rsidRPr="00E030A9">
        <w:rPr>
          <w:rFonts w:ascii="Verdana" w:hAnsi="Verdana"/>
          <w:iCs/>
          <w:sz w:val="20"/>
          <w:szCs w:val="20"/>
        </w:rPr>
        <w:t>RCSS will maintain a record, kept with the eligibility file of each student, that indicates all</w:t>
      </w:r>
    </w:p>
    <w:p w14:paraId="7781569D" w14:textId="77777777" w:rsidR="00E030A9" w:rsidRDefault="00E8548F" w:rsidP="00E8548F">
      <w:pPr>
        <w:pStyle w:val="NormalWeb"/>
        <w:shd w:val="clear" w:color="auto" w:fill="FFFFFF"/>
        <w:spacing w:before="0" w:beforeAutospacing="0" w:after="0" w:afterAutospacing="0"/>
        <w:ind w:left="360" w:hanging="360"/>
        <w:rPr>
          <w:rFonts w:ascii="Verdana" w:hAnsi="Verdana"/>
          <w:iCs/>
          <w:sz w:val="20"/>
          <w:szCs w:val="20"/>
        </w:rPr>
      </w:pPr>
      <w:r w:rsidRPr="00E030A9">
        <w:rPr>
          <w:rFonts w:ascii="Verdana" w:hAnsi="Verdana"/>
          <w:iCs/>
          <w:sz w:val="20"/>
          <w:szCs w:val="20"/>
        </w:rPr>
        <w:t>individuals, agencies or organizations that have requested or obtained access to a student’s</w:t>
      </w:r>
    </w:p>
    <w:p w14:paraId="06C15E70" w14:textId="77777777" w:rsidR="00E030A9" w:rsidRDefault="00E8548F" w:rsidP="00E8548F">
      <w:pPr>
        <w:pStyle w:val="NormalWeb"/>
        <w:shd w:val="clear" w:color="auto" w:fill="FFFFFF"/>
        <w:spacing w:before="0" w:beforeAutospacing="0" w:after="0" w:afterAutospacing="0"/>
        <w:ind w:left="360" w:hanging="360"/>
        <w:rPr>
          <w:rFonts w:ascii="Verdana" w:hAnsi="Verdana"/>
          <w:iCs/>
          <w:sz w:val="20"/>
          <w:szCs w:val="20"/>
        </w:rPr>
      </w:pPr>
      <w:r w:rsidRPr="00E030A9">
        <w:rPr>
          <w:rFonts w:ascii="Verdana" w:hAnsi="Verdana"/>
          <w:iCs/>
          <w:sz w:val="20"/>
          <w:szCs w:val="20"/>
        </w:rPr>
        <w:t>educational records collected, maintained or used under IDEA-Part B (except access by</w:t>
      </w:r>
    </w:p>
    <w:p w14:paraId="2E760ECF" w14:textId="4350B558" w:rsidR="00E8548F" w:rsidRPr="00E030A9" w:rsidRDefault="00E8548F" w:rsidP="00E8548F">
      <w:pPr>
        <w:pStyle w:val="NormalWeb"/>
        <w:shd w:val="clear" w:color="auto" w:fill="FFFFFF"/>
        <w:spacing w:before="0" w:beforeAutospacing="0" w:after="0" w:afterAutospacing="0"/>
        <w:ind w:left="360" w:hanging="360"/>
        <w:rPr>
          <w:rFonts w:ascii="Verdana" w:hAnsi="Verdana"/>
          <w:iCs/>
          <w:sz w:val="20"/>
          <w:szCs w:val="20"/>
        </w:rPr>
      </w:pPr>
      <w:r w:rsidRPr="00E030A9">
        <w:rPr>
          <w:rFonts w:ascii="Verdana" w:hAnsi="Verdana"/>
          <w:iCs/>
          <w:sz w:val="20"/>
          <w:szCs w:val="20"/>
        </w:rPr>
        <w:t>parents and authorized employees of the RCSS).</w:t>
      </w:r>
    </w:p>
    <w:p w14:paraId="0222DCC4" w14:textId="77777777" w:rsidR="00E8548F" w:rsidRPr="00E030A9" w:rsidRDefault="00E8548F" w:rsidP="00E030A9">
      <w:pPr>
        <w:pStyle w:val="NormalWeb"/>
        <w:shd w:val="clear" w:color="auto" w:fill="FFFFFF"/>
        <w:spacing w:before="0" w:beforeAutospacing="0" w:after="0" w:afterAutospacing="0"/>
        <w:rPr>
          <w:rFonts w:ascii="Verdana" w:hAnsi="Verdana"/>
          <w:iCs/>
          <w:sz w:val="20"/>
          <w:szCs w:val="20"/>
        </w:rPr>
      </w:pPr>
      <w:r w:rsidRPr="00E030A9">
        <w:rPr>
          <w:rFonts w:ascii="Verdana" w:hAnsi="Verdana"/>
          <w:iCs/>
          <w:sz w:val="20"/>
          <w:szCs w:val="20"/>
          <w:u w:val="single"/>
        </w:rPr>
        <w:t>The records shall include:</w:t>
      </w:r>
    </w:p>
    <w:p w14:paraId="0E7BFC36" w14:textId="3D4D9C98" w:rsidR="00E8548F" w:rsidRPr="00E030A9" w:rsidRDefault="00E8548F" w:rsidP="00E030A9">
      <w:pPr>
        <w:pStyle w:val="NormalWeb"/>
        <w:numPr>
          <w:ilvl w:val="0"/>
          <w:numId w:val="22"/>
        </w:numPr>
        <w:shd w:val="clear" w:color="auto" w:fill="FFFFFF"/>
        <w:spacing w:before="0" w:beforeAutospacing="0" w:after="0" w:afterAutospacing="0"/>
        <w:rPr>
          <w:rFonts w:ascii="Verdana" w:hAnsi="Verdana"/>
          <w:iCs/>
          <w:sz w:val="20"/>
          <w:szCs w:val="20"/>
        </w:rPr>
      </w:pPr>
      <w:r w:rsidRPr="00E030A9">
        <w:rPr>
          <w:rFonts w:ascii="Verdana" w:hAnsi="Verdana"/>
          <w:iCs/>
          <w:sz w:val="20"/>
          <w:szCs w:val="20"/>
        </w:rPr>
        <w:t>at least the name of the person or agency that made the request,</w:t>
      </w:r>
    </w:p>
    <w:p w14:paraId="45874F27" w14:textId="73ECB60F" w:rsidR="00E8548F" w:rsidRPr="00E030A9" w:rsidRDefault="00E8548F" w:rsidP="00E030A9">
      <w:pPr>
        <w:pStyle w:val="NormalWeb"/>
        <w:numPr>
          <w:ilvl w:val="0"/>
          <w:numId w:val="22"/>
        </w:numPr>
        <w:shd w:val="clear" w:color="auto" w:fill="FFFFFF"/>
        <w:spacing w:before="0" w:beforeAutospacing="0" w:after="0" w:afterAutospacing="0"/>
        <w:rPr>
          <w:rFonts w:ascii="Verdana" w:hAnsi="Verdana"/>
          <w:iCs/>
          <w:sz w:val="20"/>
          <w:szCs w:val="20"/>
        </w:rPr>
      </w:pPr>
      <w:r w:rsidRPr="00E030A9">
        <w:rPr>
          <w:rFonts w:ascii="Verdana" w:hAnsi="Verdana"/>
          <w:iCs/>
          <w:sz w:val="20"/>
          <w:szCs w:val="20"/>
        </w:rPr>
        <w:t>the date access was given, and</w:t>
      </w:r>
    </w:p>
    <w:p w14:paraId="72F46A19" w14:textId="5B114CF1" w:rsidR="00E8548F" w:rsidRPr="00E030A9" w:rsidRDefault="00E8548F" w:rsidP="00E030A9">
      <w:pPr>
        <w:pStyle w:val="NormalWeb"/>
        <w:numPr>
          <w:ilvl w:val="0"/>
          <w:numId w:val="22"/>
        </w:numPr>
        <w:shd w:val="clear" w:color="auto" w:fill="FFFFFF"/>
        <w:spacing w:before="0" w:beforeAutospacing="0" w:after="0" w:afterAutospacing="0"/>
        <w:rPr>
          <w:rFonts w:ascii="Verdana" w:hAnsi="Verdana"/>
          <w:iCs/>
          <w:sz w:val="20"/>
          <w:szCs w:val="20"/>
        </w:rPr>
      </w:pPr>
      <w:r w:rsidRPr="00E030A9">
        <w:rPr>
          <w:rFonts w:ascii="Verdana" w:hAnsi="Verdana"/>
          <w:iCs/>
          <w:sz w:val="20"/>
          <w:szCs w:val="20"/>
        </w:rPr>
        <w:t>the purpose for which the person or agency is authorized to use the records.</w:t>
      </w:r>
    </w:p>
    <w:p w14:paraId="2597469B" w14:textId="77777777" w:rsidR="00E8548F" w:rsidRPr="00E030A9" w:rsidRDefault="00E8548F" w:rsidP="00E8548F">
      <w:pPr>
        <w:pStyle w:val="NormalWeb"/>
        <w:shd w:val="clear" w:color="auto" w:fill="FFFFFF"/>
        <w:spacing w:before="0" w:beforeAutospacing="0" w:after="0" w:afterAutospacing="0"/>
        <w:ind w:left="720"/>
        <w:rPr>
          <w:rFonts w:ascii="Verdana" w:hAnsi="Verdana"/>
          <w:iCs/>
          <w:sz w:val="20"/>
          <w:szCs w:val="20"/>
        </w:rPr>
      </w:pPr>
      <w:r w:rsidRPr="00E030A9">
        <w:rPr>
          <w:rFonts w:ascii="Verdana" w:hAnsi="Verdana"/>
          <w:iCs/>
          <w:sz w:val="20"/>
          <w:szCs w:val="20"/>
        </w:rPr>
        <w:t>*If parts of the student eligibility folder are maintained in classrooms, access records are required if the folder contains information such as an ARD/IEP report, modification sheet(s), or any assessment reports.</w:t>
      </w:r>
    </w:p>
    <w:p w14:paraId="4D9CC5DC" w14:textId="77777777" w:rsidR="00E030A9" w:rsidRDefault="00E8548F" w:rsidP="00E8548F">
      <w:pPr>
        <w:pStyle w:val="NormalWeb"/>
        <w:shd w:val="clear" w:color="auto" w:fill="FFFFFF"/>
        <w:spacing w:before="0" w:beforeAutospacing="0" w:after="0" w:afterAutospacing="0"/>
        <w:ind w:left="360" w:hanging="360"/>
        <w:rPr>
          <w:rFonts w:ascii="Verdana" w:hAnsi="Verdana"/>
          <w:iCs/>
          <w:sz w:val="20"/>
          <w:szCs w:val="20"/>
        </w:rPr>
      </w:pPr>
      <w:r w:rsidRPr="00E030A9">
        <w:rPr>
          <w:rFonts w:ascii="Verdana" w:hAnsi="Verdana"/>
          <w:iCs/>
          <w:sz w:val="20"/>
          <w:szCs w:val="20"/>
        </w:rPr>
        <w:t>The record of access will be maintained as long as RCSS maintains the student’s education</w:t>
      </w:r>
    </w:p>
    <w:p w14:paraId="2EE7D5F0" w14:textId="77777777" w:rsidR="00E030A9" w:rsidRDefault="00E8548F" w:rsidP="00E8548F">
      <w:pPr>
        <w:pStyle w:val="NormalWeb"/>
        <w:shd w:val="clear" w:color="auto" w:fill="FFFFFF"/>
        <w:spacing w:before="0" w:beforeAutospacing="0" w:after="0" w:afterAutospacing="0"/>
        <w:ind w:left="360" w:hanging="360"/>
        <w:rPr>
          <w:rFonts w:ascii="Verdana" w:hAnsi="Verdana"/>
          <w:iCs/>
          <w:sz w:val="20"/>
          <w:szCs w:val="20"/>
        </w:rPr>
      </w:pPr>
      <w:r w:rsidRPr="00E030A9">
        <w:rPr>
          <w:rFonts w:ascii="Verdana" w:hAnsi="Verdana"/>
          <w:iCs/>
          <w:sz w:val="20"/>
          <w:szCs w:val="20"/>
        </w:rPr>
        <w:t xml:space="preserve">record. The record of access shall be available only to parents, school officials responsible </w:t>
      </w:r>
    </w:p>
    <w:p w14:paraId="204B1CE9" w14:textId="77777777" w:rsidR="00E030A9" w:rsidRDefault="00E8548F" w:rsidP="00E8548F">
      <w:pPr>
        <w:pStyle w:val="NormalWeb"/>
        <w:shd w:val="clear" w:color="auto" w:fill="FFFFFF"/>
        <w:spacing w:before="0" w:beforeAutospacing="0" w:after="0" w:afterAutospacing="0"/>
        <w:ind w:left="360" w:hanging="360"/>
        <w:rPr>
          <w:rFonts w:ascii="Verdana" w:hAnsi="Verdana"/>
          <w:iCs/>
          <w:sz w:val="20"/>
          <w:szCs w:val="20"/>
        </w:rPr>
      </w:pPr>
      <w:r w:rsidRPr="00E030A9">
        <w:rPr>
          <w:rFonts w:ascii="Verdana" w:hAnsi="Verdana"/>
          <w:iCs/>
          <w:sz w:val="20"/>
          <w:szCs w:val="20"/>
        </w:rPr>
        <w:t>for custody of the records, and those state and federal officials authorized to audit the</w:t>
      </w:r>
    </w:p>
    <w:p w14:paraId="377C7629" w14:textId="7CA0D0DC" w:rsidR="00E8548F" w:rsidRPr="00E030A9" w:rsidRDefault="00E8548F" w:rsidP="00E8548F">
      <w:pPr>
        <w:pStyle w:val="NormalWeb"/>
        <w:shd w:val="clear" w:color="auto" w:fill="FFFFFF"/>
        <w:spacing w:before="0" w:beforeAutospacing="0" w:after="0" w:afterAutospacing="0"/>
        <w:ind w:left="360" w:hanging="360"/>
        <w:rPr>
          <w:rFonts w:ascii="Verdana" w:hAnsi="Verdana"/>
          <w:iCs/>
          <w:sz w:val="20"/>
          <w:szCs w:val="20"/>
        </w:rPr>
      </w:pPr>
      <w:r w:rsidRPr="00E030A9">
        <w:rPr>
          <w:rFonts w:ascii="Verdana" w:hAnsi="Verdana"/>
          <w:iCs/>
          <w:sz w:val="20"/>
          <w:szCs w:val="20"/>
        </w:rPr>
        <w:t>operation of the system.</w:t>
      </w:r>
    </w:p>
    <w:p w14:paraId="06AB5D4A" w14:textId="77777777" w:rsidR="00E030A9" w:rsidRDefault="00E8548F" w:rsidP="00E8548F">
      <w:pPr>
        <w:pStyle w:val="NormalWeb"/>
        <w:shd w:val="clear" w:color="auto" w:fill="FFFFFF"/>
        <w:spacing w:before="0" w:beforeAutospacing="0" w:after="0" w:afterAutospacing="0"/>
        <w:ind w:left="360" w:hanging="360"/>
        <w:rPr>
          <w:rFonts w:ascii="Verdana" w:hAnsi="Verdana"/>
          <w:iCs/>
          <w:sz w:val="20"/>
          <w:szCs w:val="20"/>
        </w:rPr>
      </w:pPr>
      <w:r w:rsidRPr="00E030A9">
        <w:rPr>
          <w:rFonts w:ascii="Verdana" w:hAnsi="Verdana"/>
          <w:iCs/>
          <w:sz w:val="20"/>
          <w:szCs w:val="20"/>
        </w:rPr>
        <w:t>Access Procedures: The cumulative record and special education legal folder shall be made</w:t>
      </w:r>
    </w:p>
    <w:p w14:paraId="1023D3E1" w14:textId="77777777" w:rsidR="00E030A9" w:rsidRDefault="00E8548F" w:rsidP="00E8548F">
      <w:pPr>
        <w:pStyle w:val="NormalWeb"/>
        <w:shd w:val="clear" w:color="auto" w:fill="FFFFFF"/>
        <w:spacing w:before="0" w:beforeAutospacing="0" w:after="0" w:afterAutospacing="0"/>
        <w:ind w:left="360" w:hanging="360"/>
        <w:rPr>
          <w:rFonts w:ascii="Verdana" w:hAnsi="Verdana"/>
          <w:iCs/>
          <w:sz w:val="20"/>
          <w:szCs w:val="20"/>
        </w:rPr>
      </w:pPr>
      <w:r w:rsidRPr="00E030A9">
        <w:rPr>
          <w:rFonts w:ascii="Verdana" w:hAnsi="Verdana"/>
          <w:iCs/>
          <w:sz w:val="20"/>
          <w:szCs w:val="20"/>
        </w:rPr>
        <w:t>available to the parent. Records may be reviewed during regular school hours upon request</w:t>
      </w:r>
    </w:p>
    <w:p w14:paraId="75221DCA" w14:textId="77777777" w:rsidR="00E030A9" w:rsidRDefault="00E8548F" w:rsidP="00E8548F">
      <w:pPr>
        <w:pStyle w:val="NormalWeb"/>
        <w:shd w:val="clear" w:color="auto" w:fill="FFFFFF"/>
        <w:spacing w:before="0" w:beforeAutospacing="0" w:after="0" w:afterAutospacing="0"/>
        <w:ind w:left="360" w:hanging="360"/>
        <w:rPr>
          <w:rFonts w:ascii="Verdana" w:hAnsi="Verdana"/>
          <w:iCs/>
          <w:sz w:val="20"/>
          <w:szCs w:val="20"/>
        </w:rPr>
      </w:pPr>
      <w:r w:rsidRPr="00E030A9">
        <w:rPr>
          <w:rFonts w:ascii="Verdana" w:hAnsi="Verdana"/>
          <w:iCs/>
          <w:sz w:val="20"/>
          <w:szCs w:val="20"/>
        </w:rPr>
        <w:t>to the appropriate record custodian. The record custodian or designee shall be present to</w:t>
      </w:r>
    </w:p>
    <w:p w14:paraId="30698D22" w14:textId="77777777" w:rsidR="00E030A9" w:rsidRDefault="00E8548F" w:rsidP="00E8548F">
      <w:pPr>
        <w:pStyle w:val="NormalWeb"/>
        <w:shd w:val="clear" w:color="auto" w:fill="FFFFFF"/>
        <w:spacing w:before="0" w:beforeAutospacing="0" w:after="0" w:afterAutospacing="0"/>
        <w:ind w:left="360" w:hanging="360"/>
        <w:rPr>
          <w:rFonts w:ascii="Verdana" w:hAnsi="Verdana"/>
          <w:iCs/>
          <w:sz w:val="20"/>
          <w:szCs w:val="20"/>
        </w:rPr>
      </w:pPr>
      <w:r w:rsidRPr="00E030A9">
        <w:rPr>
          <w:rFonts w:ascii="Verdana" w:hAnsi="Verdana"/>
          <w:iCs/>
          <w:sz w:val="20"/>
          <w:szCs w:val="20"/>
        </w:rPr>
        <w:t>explain the record and to answer questions. The confidential nature of the student’s records</w:t>
      </w:r>
    </w:p>
    <w:p w14:paraId="3D260770" w14:textId="11D5631D" w:rsidR="00E030A9" w:rsidRDefault="00E8548F" w:rsidP="00E8548F">
      <w:pPr>
        <w:pStyle w:val="NormalWeb"/>
        <w:shd w:val="clear" w:color="auto" w:fill="FFFFFF"/>
        <w:spacing w:before="0" w:beforeAutospacing="0" w:after="0" w:afterAutospacing="0"/>
        <w:ind w:left="360" w:hanging="360"/>
        <w:rPr>
          <w:rFonts w:ascii="Verdana" w:hAnsi="Verdana"/>
          <w:iCs/>
          <w:sz w:val="20"/>
          <w:szCs w:val="20"/>
        </w:rPr>
      </w:pPr>
      <w:r w:rsidRPr="00E030A9">
        <w:rPr>
          <w:rFonts w:ascii="Verdana" w:hAnsi="Verdana"/>
          <w:iCs/>
          <w:sz w:val="20"/>
          <w:szCs w:val="20"/>
        </w:rPr>
        <w:t>shall be maintained at all times, and the records shall be restricted to use only in the offices</w:t>
      </w:r>
    </w:p>
    <w:p w14:paraId="785B6836" w14:textId="77777777" w:rsidR="00E030A9" w:rsidRDefault="00E8548F" w:rsidP="00E8548F">
      <w:pPr>
        <w:pStyle w:val="NormalWeb"/>
        <w:shd w:val="clear" w:color="auto" w:fill="FFFFFF"/>
        <w:spacing w:before="0" w:beforeAutospacing="0" w:after="0" w:afterAutospacing="0"/>
        <w:ind w:left="360" w:hanging="360"/>
        <w:rPr>
          <w:rFonts w:ascii="Verdana" w:hAnsi="Verdana"/>
          <w:iCs/>
          <w:sz w:val="20"/>
          <w:szCs w:val="20"/>
        </w:rPr>
      </w:pPr>
      <w:r w:rsidRPr="00E030A9">
        <w:rPr>
          <w:rFonts w:ascii="Verdana" w:hAnsi="Verdana"/>
          <w:iCs/>
          <w:sz w:val="20"/>
          <w:szCs w:val="20"/>
        </w:rPr>
        <w:t>of the Superintendent, a principal, a counselor, or Special Education as designated by the</w:t>
      </w:r>
    </w:p>
    <w:p w14:paraId="7972965D" w14:textId="248D66E7" w:rsidR="00E030A9" w:rsidRDefault="00E8548F" w:rsidP="00E8548F">
      <w:pPr>
        <w:pStyle w:val="NormalWeb"/>
        <w:shd w:val="clear" w:color="auto" w:fill="FFFFFF"/>
        <w:spacing w:before="0" w:beforeAutospacing="0" w:after="0" w:afterAutospacing="0"/>
        <w:ind w:left="360" w:hanging="360"/>
        <w:rPr>
          <w:rFonts w:ascii="Verdana" w:hAnsi="Verdana"/>
          <w:iCs/>
          <w:sz w:val="20"/>
          <w:szCs w:val="20"/>
        </w:rPr>
      </w:pPr>
      <w:r w:rsidRPr="00E030A9">
        <w:rPr>
          <w:rFonts w:ascii="Verdana" w:hAnsi="Verdana"/>
          <w:iCs/>
          <w:sz w:val="20"/>
          <w:szCs w:val="20"/>
        </w:rPr>
        <w:t>appropriate record custodian. The original copy of the record or any document contained</w:t>
      </w:r>
    </w:p>
    <w:p w14:paraId="116009F8" w14:textId="77777777" w:rsidR="004408BF" w:rsidRDefault="00E8548F" w:rsidP="00E8548F">
      <w:pPr>
        <w:pStyle w:val="NormalWeb"/>
        <w:shd w:val="clear" w:color="auto" w:fill="FFFFFF"/>
        <w:spacing w:before="0" w:beforeAutospacing="0" w:after="0" w:afterAutospacing="0"/>
        <w:ind w:left="360" w:hanging="360"/>
        <w:rPr>
          <w:rFonts w:ascii="Verdana" w:hAnsi="Verdana"/>
          <w:iCs/>
          <w:sz w:val="20"/>
          <w:szCs w:val="20"/>
        </w:rPr>
      </w:pPr>
      <w:r w:rsidRPr="00E030A9">
        <w:rPr>
          <w:rFonts w:ascii="Verdana" w:hAnsi="Verdana"/>
          <w:iCs/>
          <w:sz w:val="20"/>
          <w:szCs w:val="20"/>
        </w:rPr>
        <w:t xml:space="preserve">in the cumulative record shall not be removed from the school or the Special Education </w:t>
      </w:r>
    </w:p>
    <w:p w14:paraId="3CCDD22B" w14:textId="44231817" w:rsidR="00E8548F" w:rsidRPr="00E030A9" w:rsidRDefault="00E8548F" w:rsidP="00E8548F">
      <w:pPr>
        <w:pStyle w:val="NormalWeb"/>
        <w:shd w:val="clear" w:color="auto" w:fill="FFFFFF"/>
        <w:spacing w:before="0" w:beforeAutospacing="0" w:after="0" w:afterAutospacing="0"/>
        <w:ind w:left="360" w:hanging="360"/>
        <w:rPr>
          <w:rFonts w:ascii="Verdana" w:hAnsi="Verdana"/>
          <w:iCs/>
          <w:sz w:val="20"/>
          <w:szCs w:val="20"/>
        </w:rPr>
      </w:pPr>
      <w:r w:rsidRPr="00E030A9">
        <w:rPr>
          <w:rFonts w:ascii="Verdana" w:hAnsi="Verdana"/>
          <w:iCs/>
          <w:sz w:val="20"/>
          <w:szCs w:val="20"/>
        </w:rPr>
        <w:t>office.</w:t>
      </w:r>
    </w:p>
    <w:p w14:paraId="17240598" w14:textId="3AB8CCB4" w:rsidR="00E8548F" w:rsidRPr="00F0660D" w:rsidRDefault="00E8548F" w:rsidP="00850B01">
      <w:pPr>
        <w:spacing w:after="0" w:line="240" w:lineRule="auto"/>
        <w:rPr>
          <w:rFonts w:eastAsia="Times New Roman" w:cs="Times New Roman"/>
          <w:color w:val="auto"/>
          <w:szCs w:val="20"/>
          <w:u w:val="single"/>
        </w:rPr>
      </w:pPr>
      <w:r w:rsidRPr="00F0660D">
        <w:rPr>
          <w:rFonts w:eastAsia="Times New Roman" w:cs="Times New Roman"/>
          <w:color w:val="auto"/>
          <w:szCs w:val="20"/>
          <w:u w:val="single"/>
        </w:rPr>
        <w:t>Fee for Copies</w:t>
      </w:r>
    </w:p>
    <w:p w14:paraId="5E91E8A2" w14:textId="69905D39" w:rsidR="00E8548F" w:rsidRPr="00E030A9" w:rsidRDefault="00E8548F" w:rsidP="00850B01">
      <w:pPr>
        <w:spacing w:after="0" w:line="240" w:lineRule="auto"/>
        <w:rPr>
          <w:iCs/>
          <w:color w:val="auto"/>
          <w:szCs w:val="20"/>
          <w:shd w:val="clear" w:color="auto" w:fill="FFFFFF"/>
        </w:rPr>
      </w:pPr>
      <w:r w:rsidRPr="00E030A9">
        <w:rPr>
          <w:iCs/>
          <w:color w:val="auto"/>
          <w:szCs w:val="20"/>
          <w:shd w:val="clear" w:color="auto" w:fill="FFFFFF"/>
        </w:rPr>
        <w:t xml:space="preserve">No fee may be charged to search for or to retrieve the education record of a student. A fee of $0.10 (10¢) per page may be charged for copies of education records that are made for the parents or students under this procedure, provided that the fee does not effectively </w:t>
      </w:r>
      <w:r w:rsidRPr="00E030A9">
        <w:rPr>
          <w:iCs/>
          <w:color w:val="auto"/>
          <w:szCs w:val="20"/>
          <w:shd w:val="clear" w:color="auto" w:fill="FFFFFF"/>
        </w:rPr>
        <w:lastRenderedPageBreak/>
        <w:t>prevent them from exercising their right to inspect and review those records. A waiver of fee should be requested in writing. No fee will be charged to search for or to retrieve information.</w:t>
      </w:r>
    </w:p>
    <w:p w14:paraId="4F5BF3D7" w14:textId="72E6B8B0" w:rsidR="00E8548F" w:rsidRPr="00F0660D" w:rsidRDefault="00E8548F" w:rsidP="00850B01">
      <w:pPr>
        <w:spacing w:after="0" w:line="240" w:lineRule="auto"/>
        <w:rPr>
          <w:rFonts w:eastAsia="Times New Roman" w:cs="Times New Roman"/>
          <w:color w:val="auto"/>
          <w:szCs w:val="20"/>
          <w:u w:val="single"/>
        </w:rPr>
      </w:pPr>
      <w:r w:rsidRPr="00F0660D">
        <w:rPr>
          <w:rFonts w:eastAsia="Times New Roman" w:cs="Times New Roman"/>
          <w:color w:val="auto"/>
          <w:szCs w:val="20"/>
          <w:u w:val="single"/>
        </w:rPr>
        <w:t>Consent</w:t>
      </w:r>
    </w:p>
    <w:p w14:paraId="184833DF" w14:textId="65A44B6D" w:rsidR="00E8548F" w:rsidRPr="00E030A9" w:rsidRDefault="00E8548F" w:rsidP="00850B01">
      <w:pPr>
        <w:spacing w:after="0" w:line="240" w:lineRule="auto"/>
        <w:rPr>
          <w:iCs/>
          <w:color w:val="auto"/>
          <w:szCs w:val="20"/>
          <w:shd w:val="clear" w:color="auto" w:fill="FFFFFF"/>
        </w:rPr>
      </w:pPr>
      <w:r w:rsidRPr="00E030A9">
        <w:rPr>
          <w:iCs/>
          <w:color w:val="auto"/>
          <w:szCs w:val="20"/>
          <w:shd w:val="clear" w:color="auto" w:fill="FFFFFF"/>
        </w:rPr>
        <w:t>For agency planning purposes, informed consent is required each time the outside agency is invited to attend an IEP meeting. In addition, informed consent is required each time an outside agency representative meets with students to present orientation and service eligibility information – if personally identifiable information is being released to officials of the agency. Directory information is not considered personally identifiable.</w:t>
      </w:r>
    </w:p>
    <w:p w14:paraId="218AAA85" w14:textId="05DA6EFE" w:rsidR="00E8548F" w:rsidRPr="00E030A9" w:rsidRDefault="00E8548F" w:rsidP="00850B01">
      <w:pPr>
        <w:spacing w:after="0" w:line="240" w:lineRule="auto"/>
        <w:rPr>
          <w:iCs/>
          <w:color w:val="auto"/>
          <w:szCs w:val="20"/>
          <w:shd w:val="clear" w:color="auto" w:fill="FFFFFF"/>
        </w:rPr>
      </w:pPr>
      <w:r w:rsidRPr="00E030A9">
        <w:rPr>
          <w:iCs/>
          <w:color w:val="auto"/>
          <w:szCs w:val="20"/>
          <w:u w:val="single"/>
          <w:shd w:val="clear" w:color="auto" w:fill="FFFFFF"/>
        </w:rPr>
        <w:t>Custodian of Records</w:t>
      </w:r>
      <w:r w:rsidRPr="00E030A9">
        <w:rPr>
          <w:iCs/>
          <w:color w:val="auto"/>
          <w:szCs w:val="20"/>
          <w:shd w:val="clear" w:color="auto" w:fill="FFFFFF"/>
        </w:rPr>
        <w:t>: Unless otherwise specified in board policy, the principal is custodian of all records for currently enrolled students at the assigned school. The superintendent is the custodian of records for students who have withdrawn or graduated. The special education director is custodian of all special education records.</w:t>
      </w:r>
    </w:p>
    <w:p w14:paraId="27E0C5D0" w14:textId="5612A170" w:rsidR="00E8548F" w:rsidRPr="0024207F" w:rsidRDefault="00E8548F" w:rsidP="00850B01">
      <w:pPr>
        <w:spacing w:after="0" w:line="240" w:lineRule="auto"/>
        <w:rPr>
          <w:iCs/>
          <w:color w:val="auto"/>
          <w:szCs w:val="20"/>
          <w:shd w:val="clear" w:color="auto" w:fill="FFFFFF"/>
        </w:rPr>
      </w:pPr>
      <w:r w:rsidRPr="00E030A9">
        <w:rPr>
          <w:iCs/>
          <w:color w:val="auto"/>
          <w:szCs w:val="20"/>
          <w:u w:val="single"/>
          <w:shd w:val="clear" w:color="auto" w:fill="FFFFFF"/>
        </w:rPr>
        <w:t>Campus Principal</w:t>
      </w:r>
      <w:r w:rsidRPr="00E030A9">
        <w:rPr>
          <w:iCs/>
          <w:color w:val="auto"/>
          <w:szCs w:val="20"/>
          <w:shd w:val="clear" w:color="auto" w:fill="FFFFFF"/>
        </w:rPr>
        <w:t xml:space="preserve"> will annually train all new and returning campus staff on personally identifiable information. As new staff are employed throughout the school year, the training will be provided. The special education director is responsible for training all central office special education staff. Documentation of the date and persons attending training will be </w:t>
      </w:r>
      <w:r w:rsidRPr="0024207F">
        <w:rPr>
          <w:iCs/>
          <w:color w:val="auto"/>
          <w:szCs w:val="20"/>
          <w:shd w:val="clear" w:color="auto" w:fill="FFFFFF"/>
        </w:rPr>
        <w:t>maintained by the campus principal and the special education director.</w:t>
      </w:r>
    </w:p>
    <w:p w14:paraId="23C82047" w14:textId="5C322DC9" w:rsidR="00E8548F" w:rsidRPr="0024207F" w:rsidRDefault="00E8548F" w:rsidP="00850B01">
      <w:pPr>
        <w:spacing w:after="0" w:line="240" w:lineRule="auto"/>
        <w:rPr>
          <w:iCs/>
          <w:color w:val="auto"/>
          <w:szCs w:val="20"/>
          <w:shd w:val="clear" w:color="auto" w:fill="FFFFFF"/>
        </w:rPr>
      </w:pPr>
      <w:r w:rsidRPr="0024207F">
        <w:rPr>
          <w:iCs/>
          <w:color w:val="auto"/>
          <w:szCs w:val="20"/>
          <w:u w:val="single"/>
          <w:shd w:val="clear" w:color="auto" w:fill="FFFFFF"/>
        </w:rPr>
        <w:t>Each local campus</w:t>
      </w:r>
      <w:r w:rsidRPr="0024207F">
        <w:rPr>
          <w:iCs/>
          <w:color w:val="auto"/>
          <w:szCs w:val="20"/>
          <w:shd w:val="clear" w:color="auto" w:fill="FFFFFF"/>
        </w:rPr>
        <w:t> will have a listing of all personnel trained in confidentiality of student records and those who have access to the student records.</w:t>
      </w:r>
    </w:p>
    <w:p w14:paraId="280C62C1" w14:textId="7E354533" w:rsidR="00E8548F" w:rsidRPr="0024207F" w:rsidRDefault="00E8548F" w:rsidP="00850B01">
      <w:pPr>
        <w:spacing w:after="0" w:line="240" w:lineRule="auto"/>
        <w:rPr>
          <w:rFonts w:eastAsia="Times New Roman" w:cs="Times New Roman"/>
          <w:color w:val="auto"/>
          <w:szCs w:val="20"/>
        </w:rPr>
      </w:pPr>
    </w:p>
    <w:p w14:paraId="5FC7BA03" w14:textId="74BEC90C" w:rsidR="00307142" w:rsidRPr="0024207F" w:rsidRDefault="00307142" w:rsidP="00967407">
      <w:pPr>
        <w:spacing w:after="0" w:line="240" w:lineRule="auto"/>
        <w:rPr>
          <w:rFonts w:cs="Calibri"/>
          <w:b/>
          <w:color w:val="000000"/>
          <w:szCs w:val="20"/>
        </w:rPr>
      </w:pPr>
      <w:r w:rsidRPr="0024207F">
        <w:rPr>
          <w:rFonts w:cs="Calibri"/>
          <w:b/>
          <w:color w:val="000000"/>
          <w:szCs w:val="20"/>
        </w:rPr>
        <w:t>S</w:t>
      </w:r>
      <w:r w:rsidR="00967407" w:rsidRPr="0024207F">
        <w:rPr>
          <w:rFonts w:cs="Calibri"/>
          <w:b/>
          <w:color w:val="000000"/>
          <w:szCs w:val="20"/>
        </w:rPr>
        <w:t>taff Responsible</w:t>
      </w:r>
      <w:r w:rsidRPr="0024207F">
        <w:rPr>
          <w:rFonts w:cs="Calibri"/>
          <w:b/>
          <w:color w:val="000000"/>
          <w:szCs w:val="20"/>
        </w:rPr>
        <w:t xml:space="preserve">:  </w:t>
      </w:r>
    </w:p>
    <w:p w14:paraId="0C37F1F7" w14:textId="77777777" w:rsidR="00307142" w:rsidRPr="0024207F" w:rsidRDefault="00307142" w:rsidP="00307142">
      <w:pPr>
        <w:spacing w:after="120" w:line="240" w:lineRule="auto"/>
        <w:ind w:firstLine="720"/>
        <w:contextualSpacing/>
        <w:rPr>
          <w:rFonts w:cs="Calibri"/>
          <w:color w:val="000000" w:themeColor="text1"/>
          <w:szCs w:val="20"/>
        </w:rPr>
      </w:pPr>
      <w:r w:rsidRPr="0024207F">
        <w:rPr>
          <w:rFonts w:cs="Calibri"/>
          <w:b/>
          <w:color w:val="000000" w:themeColor="text1"/>
          <w:szCs w:val="20"/>
        </w:rPr>
        <w:t xml:space="preserve">District Level: </w:t>
      </w:r>
      <w:r w:rsidRPr="0024207F">
        <w:rPr>
          <w:rFonts w:cs="Calibri"/>
          <w:color w:val="000000" w:themeColor="text1"/>
          <w:szCs w:val="20"/>
        </w:rPr>
        <w:t>Superintendent, Special Education Director</w:t>
      </w:r>
    </w:p>
    <w:p w14:paraId="594A4148" w14:textId="696A2413" w:rsidR="00307142" w:rsidRPr="0024207F" w:rsidRDefault="00307142" w:rsidP="00307142">
      <w:pPr>
        <w:spacing w:after="120" w:line="240" w:lineRule="auto"/>
        <w:ind w:firstLine="720"/>
        <w:contextualSpacing/>
        <w:rPr>
          <w:rFonts w:eastAsia="Times New Roman" w:cs="Times New Roman"/>
          <w:color w:val="auto"/>
          <w:szCs w:val="20"/>
        </w:rPr>
      </w:pPr>
      <w:r w:rsidRPr="0024207F">
        <w:rPr>
          <w:rFonts w:cs="Calibri"/>
          <w:b/>
          <w:color w:val="000000" w:themeColor="text1"/>
          <w:szCs w:val="20"/>
        </w:rPr>
        <w:t>Campus Level:</w:t>
      </w:r>
      <w:r w:rsidRPr="0024207F">
        <w:rPr>
          <w:rFonts w:cs="Calibri"/>
          <w:color w:val="000000" w:themeColor="text1"/>
          <w:szCs w:val="20"/>
        </w:rPr>
        <w:t xml:space="preserve"> </w:t>
      </w:r>
      <w:r w:rsidRPr="0024207F">
        <w:rPr>
          <w:rFonts w:eastAsia="Times New Roman" w:cs="Times New Roman"/>
          <w:color w:val="auto"/>
          <w:szCs w:val="20"/>
        </w:rPr>
        <w:t xml:space="preserve">Principal </w:t>
      </w:r>
    </w:p>
    <w:p w14:paraId="232A71B4" w14:textId="77777777" w:rsidR="003A2816" w:rsidRPr="0024207F" w:rsidRDefault="003A2816" w:rsidP="00307142">
      <w:pPr>
        <w:spacing w:after="120" w:line="240" w:lineRule="auto"/>
        <w:rPr>
          <w:rFonts w:cs="Calibri"/>
          <w:b/>
          <w:color w:val="000000"/>
          <w:szCs w:val="20"/>
        </w:rPr>
      </w:pPr>
    </w:p>
    <w:p w14:paraId="719E8810" w14:textId="2AC5AE9A" w:rsidR="00307142" w:rsidRPr="0024207F" w:rsidRDefault="00307142" w:rsidP="00307142">
      <w:pPr>
        <w:spacing w:after="120" w:line="240" w:lineRule="auto"/>
        <w:rPr>
          <w:rFonts w:cs="Calibri"/>
          <w:b/>
          <w:color w:val="auto"/>
          <w:szCs w:val="20"/>
        </w:rPr>
      </w:pPr>
      <w:r w:rsidRPr="0024207F">
        <w:rPr>
          <w:rFonts w:cs="Calibri"/>
          <w:b/>
          <w:color w:val="000000"/>
          <w:szCs w:val="20"/>
        </w:rPr>
        <w:t>T</w:t>
      </w:r>
      <w:r w:rsidR="00967407" w:rsidRPr="0024207F">
        <w:rPr>
          <w:rFonts w:cs="Calibri"/>
          <w:b/>
          <w:color w:val="000000"/>
          <w:szCs w:val="20"/>
        </w:rPr>
        <w:t>imeline</w:t>
      </w:r>
      <w:r w:rsidRPr="0024207F">
        <w:rPr>
          <w:rFonts w:cs="Calibri"/>
          <w:b/>
          <w:color w:val="000000"/>
          <w:szCs w:val="20"/>
        </w:rPr>
        <w:t xml:space="preserve">: </w:t>
      </w:r>
      <w:r w:rsidR="00C65DF0" w:rsidRPr="0024207F">
        <w:rPr>
          <w:rFonts w:cs="Calibri"/>
          <w:color w:val="000000"/>
          <w:szCs w:val="20"/>
        </w:rPr>
        <w:t>Right to examine-</w:t>
      </w:r>
      <w:r w:rsidRPr="0024207F">
        <w:rPr>
          <w:color w:val="auto"/>
          <w:szCs w:val="20"/>
        </w:rPr>
        <w:t xml:space="preserve">45 days of parent request to examine any records relating to the education of their </w:t>
      </w:r>
      <w:r w:rsidR="00C65DF0" w:rsidRPr="0024207F">
        <w:rPr>
          <w:color w:val="auto"/>
          <w:szCs w:val="20"/>
        </w:rPr>
        <w:t>child</w:t>
      </w:r>
    </w:p>
    <w:p w14:paraId="0895CAAA" w14:textId="77777777" w:rsidR="00967407" w:rsidRPr="0024207F" w:rsidRDefault="00967407" w:rsidP="00967407">
      <w:pPr>
        <w:spacing w:after="0" w:line="240" w:lineRule="auto"/>
        <w:rPr>
          <w:rFonts w:cs="Calibri"/>
          <w:b/>
          <w:iCs/>
          <w:color w:val="auto"/>
          <w:szCs w:val="20"/>
        </w:rPr>
      </w:pPr>
      <w:r w:rsidRPr="0024207F">
        <w:rPr>
          <w:rFonts w:cs="Calibri"/>
          <w:b/>
          <w:color w:val="auto"/>
          <w:szCs w:val="20"/>
        </w:rPr>
        <w:t>Evidence of Practice:</w:t>
      </w:r>
    </w:p>
    <w:p w14:paraId="4CF8C0BA" w14:textId="0C1420A6" w:rsidR="00307142" w:rsidRPr="0024207F" w:rsidRDefault="003A2816" w:rsidP="00307142">
      <w:pPr>
        <w:pStyle w:val="ListParagraph"/>
        <w:numPr>
          <w:ilvl w:val="0"/>
          <w:numId w:val="23"/>
        </w:numPr>
        <w:spacing w:after="120" w:line="240" w:lineRule="auto"/>
        <w:rPr>
          <w:rFonts w:cs="Calibri"/>
          <w:color w:val="000000"/>
          <w:szCs w:val="20"/>
        </w:rPr>
      </w:pPr>
      <w:r w:rsidRPr="0024207F">
        <w:rPr>
          <w:rFonts w:cs="Calibri"/>
          <w:color w:val="000000"/>
          <w:szCs w:val="20"/>
        </w:rPr>
        <w:t xml:space="preserve">Training artifacts </w:t>
      </w:r>
    </w:p>
    <w:p w14:paraId="7E068193" w14:textId="54E77917" w:rsidR="00307142" w:rsidRPr="0024207F" w:rsidRDefault="003A2816" w:rsidP="00307142">
      <w:pPr>
        <w:pStyle w:val="ListParagraph"/>
        <w:numPr>
          <w:ilvl w:val="0"/>
          <w:numId w:val="23"/>
        </w:numPr>
        <w:spacing w:after="120" w:line="240" w:lineRule="auto"/>
        <w:rPr>
          <w:rFonts w:cs="Calibri"/>
          <w:color w:val="000000"/>
          <w:szCs w:val="20"/>
        </w:rPr>
      </w:pPr>
      <w:r w:rsidRPr="0024207F">
        <w:rPr>
          <w:rFonts w:cs="Calibri"/>
          <w:color w:val="000000"/>
          <w:szCs w:val="20"/>
        </w:rPr>
        <w:t xml:space="preserve">List of trained personnel </w:t>
      </w:r>
    </w:p>
    <w:p w14:paraId="4F1D3EA5" w14:textId="075C5E36" w:rsidR="003A2816" w:rsidRPr="0024207F" w:rsidRDefault="003A2816" w:rsidP="00307142">
      <w:pPr>
        <w:pStyle w:val="ListParagraph"/>
        <w:numPr>
          <w:ilvl w:val="0"/>
          <w:numId w:val="23"/>
        </w:numPr>
        <w:spacing w:after="120" w:line="240" w:lineRule="auto"/>
        <w:rPr>
          <w:rFonts w:cs="Calibri"/>
          <w:color w:val="000000"/>
          <w:szCs w:val="20"/>
        </w:rPr>
      </w:pPr>
      <w:r w:rsidRPr="0024207F">
        <w:rPr>
          <w:rFonts w:cs="Calibri"/>
          <w:color w:val="000000"/>
          <w:szCs w:val="20"/>
        </w:rPr>
        <w:t xml:space="preserve">Copy of consent to release confidential information </w:t>
      </w:r>
    </w:p>
    <w:p w14:paraId="5CACB37B" w14:textId="77777777" w:rsidR="00E8548F" w:rsidRPr="0024207F" w:rsidRDefault="00E8548F" w:rsidP="00850B01">
      <w:pPr>
        <w:spacing w:after="0" w:line="240" w:lineRule="auto"/>
        <w:rPr>
          <w:rFonts w:eastAsia="Times New Roman" w:cs="Times New Roman"/>
          <w:color w:val="auto"/>
          <w:szCs w:val="20"/>
        </w:rPr>
      </w:pPr>
    </w:p>
    <w:sectPr w:rsidR="00E8548F" w:rsidRPr="0024207F" w:rsidSect="00A15E59">
      <w:headerReference w:type="even" r:id="rId15"/>
      <w:headerReference w:type="default" r:id="rId16"/>
      <w:footerReference w:type="even" r:id="rId17"/>
      <w:footerReference w:type="default" r:id="rId18"/>
      <w:headerReference w:type="first" r:id="rId19"/>
      <w:footerReference w:type="first" r:id="rId20"/>
      <w:pgSz w:w="12240" w:h="15840" w:code="1"/>
      <w:pgMar w:top="720" w:right="1440" w:bottom="72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09618A" w14:textId="77777777" w:rsidR="00EF6C86" w:rsidRDefault="00EF6C86">
      <w:pPr>
        <w:spacing w:after="0" w:line="240" w:lineRule="auto"/>
      </w:pPr>
      <w:r>
        <w:separator/>
      </w:r>
    </w:p>
  </w:endnote>
  <w:endnote w:type="continuationSeparator" w:id="0">
    <w:p w14:paraId="5D02F18B" w14:textId="77777777" w:rsidR="00EF6C86" w:rsidRDefault="00EF6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64201" w14:textId="77777777" w:rsidR="004D65A8" w:rsidRDefault="004D65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jc w:val="center"/>
      <w:tblBorders>
        <w:top w:val="single" w:sz="24" w:space="0" w:color="0F3966" w:themeColor="accent1"/>
      </w:tblBorders>
      <w:tblLook w:val="04A0" w:firstRow="1" w:lastRow="0" w:firstColumn="1" w:lastColumn="0" w:noHBand="0" w:noVBand="1"/>
    </w:tblPr>
    <w:tblGrid>
      <w:gridCol w:w="3284"/>
      <w:gridCol w:w="6076"/>
    </w:tblGrid>
    <w:tr w:rsidR="00A15E59" w:rsidRPr="00CD22C5" w14:paraId="089D4120" w14:textId="77777777" w:rsidTr="007A30FA">
      <w:trPr>
        <w:jc w:val="center"/>
      </w:trPr>
      <w:tc>
        <w:tcPr>
          <w:tcW w:w="3348" w:type="dxa"/>
          <w:vAlign w:val="center"/>
        </w:tcPr>
        <w:p w14:paraId="29C2A43C" w14:textId="5A9D288B" w:rsidR="00A15E59" w:rsidRPr="00CD22C5" w:rsidRDefault="00A15E59" w:rsidP="009A5ACF">
          <w:pPr>
            <w:pStyle w:val="Footer"/>
            <w:tabs>
              <w:tab w:val="left" w:pos="1440"/>
              <w:tab w:val="right" w:pos="4122"/>
            </w:tabs>
            <w:rPr>
              <w:b w:val="0"/>
              <w:sz w:val="16"/>
              <w:szCs w:val="16"/>
            </w:rPr>
          </w:pPr>
          <w:r w:rsidRPr="00CD22C5">
            <w:rPr>
              <w:b w:val="0"/>
              <w:sz w:val="16"/>
              <w:szCs w:val="16"/>
            </w:rPr>
            <w:t xml:space="preserve">Operating </w:t>
          </w:r>
          <w:r w:rsidR="00AD4645">
            <w:rPr>
              <w:b w:val="0"/>
              <w:sz w:val="16"/>
              <w:szCs w:val="16"/>
            </w:rPr>
            <w:t>Procedures</w:t>
          </w:r>
        </w:p>
      </w:tc>
      <w:tc>
        <w:tcPr>
          <w:tcW w:w="6228" w:type="dxa"/>
          <w:vAlign w:val="center"/>
        </w:tcPr>
        <w:p w14:paraId="2B2369C4" w14:textId="77777777" w:rsidR="00A15E59" w:rsidRPr="009A1B8F" w:rsidRDefault="002C1DFD" w:rsidP="002C1DFD">
          <w:pPr>
            <w:pStyle w:val="Footer"/>
            <w:tabs>
              <w:tab w:val="left" w:pos="1260"/>
            </w:tabs>
            <w:jc w:val="right"/>
            <w:rPr>
              <w:sz w:val="16"/>
              <w:szCs w:val="16"/>
            </w:rPr>
          </w:pPr>
          <w:r>
            <w:rPr>
              <w:sz w:val="16"/>
              <w:szCs w:val="16"/>
            </w:rPr>
            <w:t>CONFIDENTIALITY OF INFORMATION</w:t>
          </w:r>
        </w:p>
      </w:tc>
    </w:tr>
    <w:tr w:rsidR="00A15E59" w:rsidRPr="00CD22C5" w14:paraId="00B8BB8D" w14:textId="77777777" w:rsidTr="007A30FA">
      <w:trPr>
        <w:jc w:val="center"/>
      </w:trPr>
      <w:tc>
        <w:tcPr>
          <w:tcW w:w="3348" w:type="dxa"/>
          <w:vAlign w:val="center"/>
        </w:tcPr>
        <w:p w14:paraId="13D80F97" w14:textId="6C4731C3" w:rsidR="00A15E59" w:rsidRPr="00CD22C5" w:rsidRDefault="00A15E59" w:rsidP="009A5ACF">
          <w:pPr>
            <w:pStyle w:val="Footer"/>
            <w:tabs>
              <w:tab w:val="left" w:pos="1440"/>
            </w:tabs>
            <w:rPr>
              <w:b w:val="0"/>
              <w:sz w:val="16"/>
              <w:szCs w:val="16"/>
            </w:rPr>
          </w:pPr>
          <w:r w:rsidRPr="00CD22C5">
            <w:rPr>
              <w:b w:val="0"/>
              <w:sz w:val="16"/>
              <w:szCs w:val="16"/>
            </w:rPr>
            <w:t>Date Issued/Revised:</w:t>
          </w:r>
          <w:r>
            <w:rPr>
              <w:b w:val="0"/>
              <w:sz w:val="16"/>
              <w:szCs w:val="16"/>
            </w:rPr>
            <w:t xml:space="preserve"> </w:t>
          </w:r>
          <w:r w:rsidR="00ED12C4" w:rsidRPr="004D65A8">
            <w:rPr>
              <w:b w:val="0"/>
              <w:sz w:val="16"/>
              <w:szCs w:val="16"/>
            </w:rPr>
            <w:t>08/202</w:t>
          </w:r>
          <w:r w:rsidR="00907D9F">
            <w:rPr>
              <w:b w:val="0"/>
              <w:sz w:val="16"/>
              <w:szCs w:val="16"/>
            </w:rPr>
            <w:t>5</w:t>
          </w:r>
          <w:bookmarkStart w:id="0" w:name="_GoBack"/>
          <w:bookmarkEnd w:id="0"/>
        </w:p>
      </w:tc>
      <w:tc>
        <w:tcPr>
          <w:tcW w:w="6228" w:type="dxa"/>
          <w:vAlign w:val="center"/>
        </w:tcPr>
        <w:p w14:paraId="62DAD8B6" w14:textId="450B0358" w:rsidR="00A15E59" w:rsidRPr="00CD22C5" w:rsidRDefault="00A15E59" w:rsidP="009A5ACF">
          <w:pPr>
            <w:pStyle w:val="Footer"/>
            <w:tabs>
              <w:tab w:val="left" w:pos="1260"/>
            </w:tabs>
            <w:jc w:val="right"/>
            <w:rPr>
              <w:b w:val="0"/>
              <w:sz w:val="16"/>
              <w:szCs w:val="16"/>
            </w:rPr>
          </w:pPr>
          <w:r w:rsidRPr="00CD22C5">
            <w:rPr>
              <w:b w:val="0"/>
              <w:sz w:val="16"/>
              <w:szCs w:val="16"/>
            </w:rPr>
            <w:t xml:space="preserve">Page </w:t>
          </w:r>
          <w:r w:rsidRPr="00CD22C5">
            <w:rPr>
              <w:b w:val="0"/>
              <w:sz w:val="16"/>
              <w:szCs w:val="16"/>
            </w:rPr>
            <w:fldChar w:fldCharType="begin"/>
          </w:r>
          <w:r w:rsidRPr="00CD22C5">
            <w:rPr>
              <w:b w:val="0"/>
              <w:sz w:val="16"/>
              <w:szCs w:val="16"/>
            </w:rPr>
            <w:instrText xml:space="preserve"> PAGE </w:instrText>
          </w:r>
          <w:r w:rsidRPr="00CD22C5">
            <w:rPr>
              <w:b w:val="0"/>
              <w:sz w:val="16"/>
              <w:szCs w:val="16"/>
            </w:rPr>
            <w:fldChar w:fldCharType="separate"/>
          </w:r>
          <w:r w:rsidR="002A5B1D">
            <w:rPr>
              <w:b w:val="0"/>
              <w:noProof/>
              <w:sz w:val="16"/>
              <w:szCs w:val="16"/>
            </w:rPr>
            <w:t>2</w:t>
          </w:r>
          <w:r w:rsidRPr="00CD22C5">
            <w:rPr>
              <w:b w:val="0"/>
              <w:sz w:val="16"/>
              <w:szCs w:val="16"/>
            </w:rPr>
            <w:fldChar w:fldCharType="end"/>
          </w:r>
          <w:r w:rsidRPr="00CD22C5">
            <w:rPr>
              <w:b w:val="0"/>
              <w:sz w:val="16"/>
              <w:szCs w:val="16"/>
            </w:rPr>
            <w:t xml:space="preserve"> of </w:t>
          </w:r>
          <w:r w:rsidRPr="00CD22C5">
            <w:rPr>
              <w:b w:val="0"/>
              <w:sz w:val="16"/>
              <w:szCs w:val="16"/>
            </w:rPr>
            <w:fldChar w:fldCharType="begin"/>
          </w:r>
          <w:r w:rsidRPr="00CD22C5">
            <w:rPr>
              <w:b w:val="0"/>
              <w:sz w:val="16"/>
              <w:szCs w:val="16"/>
            </w:rPr>
            <w:instrText xml:space="preserve"> NUMPAGES  </w:instrText>
          </w:r>
          <w:r w:rsidRPr="00CD22C5">
            <w:rPr>
              <w:b w:val="0"/>
              <w:sz w:val="16"/>
              <w:szCs w:val="16"/>
            </w:rPr>
            <w:fldChar w:fldCharType="separate"/>
          </w:r>
          <w:r w:rsidR="002A5B1D">
            <w:rPr>
              <w:b w:val="0"/>
              <w:noProof/>
              <w:sz w:val="16"/>
              <w:szCs w:val="16"/>
            </w:rPr>
            <w:t>2</w:t>
          </w:r>
          <w:r w:rsidRPr="00CD22C5">
            <w:rPr>
              <w:b w:val="0"/>
              <w:sz w:val="16"/>
              <w:szCs w:val="16"/>
            </w:rPr>
            <w:fldChar w:fldCharType="end"/>
          </w:r>
        </w:p>
      </w:tc>
    </w:tr>
  </w:tbl>
  <w:p w14:paraId="49FFC63F" w14:textId="77777777" w:rsidR="00DB231F" w:rsidRPr="00A15E59" w:rsidRDefault="00DB231F">
    <w:pPr>
      <w:pStyle w:val="Footer"/>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24" w:space="0" w:color="0F3966" w:themeColor="accent1"/>
      </w:tblBorders>
      <w:tblLook w:val="04A0" w:firstRow="1" w:lastRow="0" w:firstColumn="1" w:lastColumn="0" w:noHBand="0" w:noVBand="1"/>
    </w:tblPr>
    <w:tblGrid>
      <w:gridCol w:w="4239"/>
      <w:gridCol w:w="5121"/>
    </w:tblGrid>
    <w:tr w:rsidR="008E1425" w:rsidRPr="00CD22C5" w14:paraId="5331FCA7" w14:textId="77777777" w:rsidTr="00CD22C5">
      <w:tc>
        <w:tcPr>
          <w:tcW w:w="4338" w:type="dxa"/>
          <w:vAlign w:val="center"/>
        </w:tcPr>
        <w:p w14:paraId="6A077729" w14:textId="77777777" w:rsidR="008E1425" w:rsidRPr="00CD22C5" w:rsidRDefault="008E1425" w:rsidP="00CD22C5">
          <w:pPr>
            <w:pStyle w:val="Footer"/>
            <w:tabs>
              <w:tab w:val="left" w:pos="1440"/>
              <w:tab w:val="right" w:pos="4122"/>
            </w:tabs>
            <w:rPr>
              <w:b w:val="0"/>
              <w:sz w:val="16"/>
              <w:szCs w:val="16"/>
            </w:rPr>
          </w:pPr>
          <w:r w:rsidRPr="00CD22C5">
            <w:rPr>
              <w:b w:val="0"/>
              <w:sz w:val="16"/>
              <w:szCs w:val="16"/>
            </w:rPr>
            <w:t>Operating Guideline</w:t>
          </w:r>
        </w:p>
      </w:tc>
      <w:tc>
        <w:tcPr>
          <w:tcW w:w="5238" w:type="dxa"/>
          <w:vAlign w:val="center"/>
        </w:tcPr>
        <w:p w14:paraId="3B735934" w14:textId="77777777" w:rsidR="008E1425" w:rsidRPr="00271990" w:rsidRDefault="00271990" w:rsidP="00271990">
          <w:pPr>
            <w:pStyle w:val="Footer"/>
            <w:jc w:val="right"/>
            <w:rPr>
              <w:sz w:val="16"/>
              <w:szCs w:val="16"/>
            </w:rPr>
          </w:pPr>
          <w:r w:rsidRPr="00271990">
            <w:rPr>
              <w:sz w:val="16"/>
              <w:szCs w:val="16"/>
            </w:rPr>
            <w:t>ADMINISTRATION OF PROGRAM INFORMATION</w:t>
          </w:r>
        </w:p>
      </w:tc>
    </w:tr>
    <w:tr w:rsidR="008E1425" w:rsidRPr="00CD22C5" w14:paraId="1B026C2A" w14:textId="77777777" w:rsidTr="00CD22C5">
      <w:tc>
        <w:tcPr>
          <w:tcW w:w="4338" w:type="dxa"/>
          <w:vAlign w:val="center"/>
        </w:tcPr>
        <w:p w14:paraId="3FB66790" w14:textId="77777777" w:rsidR="008E1425" w:rsidRPr="00CD22C5" w:rsidRDefault="008E1425" w:rsidP="00CD22C5">
          <w:pPr>
            <w:pStyle w:val="Footer"/>
            <w:tabs>
              <w:tab w:val="left" w:pos="1440"/>
            </w:tabs>
            <w:rPr>
              <w:b w:val="0"/>
              <w:sz w:val="16"/>
              <w:szCs w:val="16"/>
            </w:rPr>
          </w:pPr>
          <w:r w:rsidRPr="00CD22C5">
            <w:rPr>
              <w:b w:val="0"/>
              <w:sz w:val="16"/>
              <w:szCs w:val="16"/>
            </w:rPr>
            <w:t>Date Issued/Revised:</w:t>
          </w:r>
          <w:r w:rsidR="00CD22C5">
            <w:rPr>
              <w:b w:val="0"/>
              <w:sz w:val="16"/>
              <w:szCs w:val="16"/>
            </w:rPr>
            <w:t xml:space="preserve"> </w:t>
          </w:r>
          <w:r w:rsidRPr="00CD22C5">
            <w:rPr>
              <w:b w:val="0"/>
              <w:sz w:val="16"/>
              <w:szCs w:val="16"/>
              <w:highlight w:val="lightGray"/>
            </w:rPr>
            <w:fldChar w:fldCharType="begin"/>
          </w:r>
          <w:r w:rsidRPr="00CD22C5">
            <w:rPr>
              <w:b w:val="0"/>
              <w:sz w:val="16"/>
              <w:szCs w:val="16"/>
              <w:highlight w:val="lightGray"/>
            </w:rPr>
            <w:instrText xml:space="preserve"> MACROBUTTON  AcceptAllChangesShown "[Enter DATE]" </w:instrText>
          </w:r>
          <w:r w:rsidRPr="00CD22C5">
            <w:rPr>
              <w:b w:val="0"/>
              <w:sz w:val="16"/>
              <w:szCs w:val="16"/>
              <w:highlight w:val="lightGray"/>
            </w:rPr>
            <w:fldChar w:fldCharType="end"/>
          </w:r>
        </w:p>
      </w:tc>
      <w:tc>
        <w:tcPr>
          <w:tcW w:w="5238" w:type="dxa"/>
          <w:vAlign w:val="center"/>
        </w:tcPr>
        <w:p w14:paraId="53AFD16F" w14:textId="77777777" w:rsidR="008E1425" w:rsidRPr="00CD22C5" w:rsidRDefault="008E1425" w:rsidP="00CD22C5">
          <w:pPr>
            <w:pStyle w:val="Footer"/>
            <w:tabs>
              <w:tab w:val="left" w:pos="1260"/>
            </w:tabs>
            <w:jc w:val="right"/>
            <w:rPr>
              <w:b w:val="0"/>
              <w:sz w:val="16"/>
              <w:szCs w:val="16"/>
            </w:rPr>
          </w:pPr>
          <w:r w:rsidRPr="00CD22C5">
            <w:rPr>
              <w:b w:val="0"/>
              <w:sz w:val="16"/>
              <w:szCs w:val="16"/>
            </w:rPr>
            <w:t xml:space="preserve">Page </w:t>
          </w:r>
          <w:r w:rsidRPr="00CD22C5">
            <w:rPr>
              <w:b w:val="0"/>
              <w:sz w:val="16"/>
              <w:szCs w:val="16"/>
            </w:rPr>
            <w:fldChar w:fldCharType="begin"/>
          </w:r>
          <w:r w:rsidRPr="00CD22C5">
            <w:rPr>
              <w:b w:val="0"/>
              <w:sz w:val="16"/>
              <w:szCs w:val="16"/>
            </w:rPr>
            <w:instrText xml:space="preserve"> PAGE </w:instrText>
          </w:r>
          <w:r w:rsidRPr="00CD22C5">
            <w:rPr>
              <w:b w:val="0"/>
              <w:sz w:val="16"/>
              <w:szCs w:val="16"/>
            </w:rPr>
            <w:fldChar w:fldCharType="separate"/>
          </w:r>
          <w:r w:rsidR="00A15E59">
            <w:rPr>
              <w:b w:val="0"/>
              <w:noProof/>
              <w:sz w:val="16"/>
              <w:szCs w:val="16"/>
            </w:rPr>
            <w:t>1</w:t>
          </w:r>
          <w:r w:rsidRPr="00CD22C5">
            <w:rPr>
              <w:b w:val="0"/>
              <w:sz w:val="16"/>
              <w:szCs w:val="16"/>
            </w:rPr>
            <w:fldChar w:fldCharType="end"/>
          </w:r>
          <w:r w:rsidRPr="00CD22C5">
            <w:rPr>
              <w:b w:val="0"/>
              <w:sz w:val="16"/>
              <w:szCs w:val="16"/>
            </w:rPr>
            <w:t xml:space="preserve"> of </w:t>
          </w:r>
          <w:r w:rsidRPr="00CD22C5">
            <w:rPr>
              <w:b w:val="0"/>
              <w:sz w:val="16"/>
              <w:szCs w:val="16"/>
            </w:rPr>
            <w:fldChar w:fldCharType="begin"/>
          </w:r>
          <w:r w:rsidRPr="00CD22C5">
            <w:rPr>
              <w:b w:val="0"/>
              <w:sz w:val="16"/>
              <w:szCs w:val="16"/>
            </w:rPr>
            <w:instrText xml:space="preserve"> NUMPAGES  </w:instrText>
          </w:r>
          <w:r w:rsidRPr="00CD22C5">
            <w:rPr>
              <w:b w:val="0"/>
              <w:sz w:val="16"/>
              <w:szCs w:val="16"/>
            </w:rPr>
            <w:fldChar w:fldCharType="separate"/>
          </w:r>
          <w:r w:rsidR="00DF5B9C">
            <w:rPr>
              <w:b w:val="0"/>
              <w:noProof/>
              <w:sz w:val="16"/>
              <w:szCs w:val="16"/>
            </w:rPr>
            <w:t>2</w:t>
          </w:r>
          <w:r w:rsidRPr="00CD22C5">
            <w:rPr>
              <w:b w:val="0"/>
              <w:sz w:val="16"/>
              <w:szCs w:val="16"/>
            </w:rPr>
            <w:fldChar w:fldCharType="end"/>
          </w:r>
        </w:p>
      </w:tc>
    </w:tr>
  </w:tbl>
  <w:p w14:paraId="46FC3CC2" w14:textId="77777777" w:rsidR="00426C23" w:rsidRPr="00CD22C5" w:rsidRDefault="00426C23" w:rsidP="00426C23">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CDD721" w14:textId="77777777" w:rsidR="00EF6C86" w:rsidRDefault="00EF6C86">
      <w:pPr>
        <w:spacing w:after="0" w:line="240" w:lineRule="auto"/>
      </w:pPr>
      <w:r>
        <w:separator/>
      </w:r>
    </w:p>
  </w:footnote>
  <w:footnote w:type="continuationSeparator" w:id="0">
    <w:p w14:paraId="2357A21A" w14:textId="77777777" w:rsidR="00EF6C86" w:rsidRDefault="00EF6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F222D" w14:textId="77777777" w:rsidR="004D65A8" w:rsidRDefault="004D65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eneralPaperTable"/>
      <w:tblW w:w="9360" w:type="dxa"/>
      <w:jc w:val="center"/>
      <w:tblLayout w:type="fixed"/>
      <w:tblCellMar>
        <w:top w:w="14" w:type="dxa"/>
        <w:left w:w="14" w:type="dxa"/>
        <w:bottom w:w="14" w:type="dxa"/>
        <w:right w:w="14" w:type="dxa"/>
      </w:tblCellMar>
      <w:tblLook w:val="04A0" w:firstRow="1" w:lastRow="0" w:firstColumn="1" w:lastColumn="0" w:noHBand="0" w:noVBand="1"/>
    </w:tblPr>
    <w:tblGrid>
      <w:gridCol w:w="7650"/>
      <w:gridCol w:w="1710"/>
    </w:tblGrid>
    <w:tr w:rsidR="00A15E59" w:rsidRPr="00A15E59" w14:paraId="247CFA42" w14:textId="77777777" w:rsidTr="009A5ACF">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14:paraId="649ADF7F" w14:textId="42A40767" w:rsidR="00A15E59" w:rsidRPr="00A15E59" w:rsidRDefault="00A15E59" w:rsidP="00A15E59">
          <w:pPr>
            <w:pStyle w:val="Header"/>
            <w:spacing w:before="0"/>
            <w:jc w:val="center"/>
            <w:rPr>
              <w:color w:val="0F3966" w:themeColor="accent1"/>
              <w:sz w:val="24"/>
            </w:rPr>
          </w:pPr>
          <w:r w:rsidRPr="00A15E59">
            <w:rPr>
              <w:sz w:val="24"/>
            </w:rPr>
            <w:t xml:space="preserve">OPERATING </w:t>
          </w:r>
          <w:r w:rsidR="00AD4645">
            <w:rPr>
              <w:sz w:val="24"/>
            </w:rPr>
            <w:t>PROCEDURES</w:t>
          </w:r>
        </w:p>
      </w:tc>
    </w:tr>
    <w:tr w:rsidR="00A15E59" w:rsidRPr="00A15E59" w14:paraId="3F94601D" w14:textId="77777777" w:rsidTr="009A5ACF">
      <w:trPr>
        <w:trHeight w:val="432"/>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14:paraId="699977C3" w14:textId="77777777" w:rsidR="00727C62" w:rsidRPr="00A15E59" w:rsidRDefault="002C1DFD" w:rsidP="002C1DFD">
          <w:pPr>
            <w:pStyle w:val="Header"/>
            <w:spacing w:before="0"/>
            <w:jc w:val="center"/>
            <w:rPr>
              <w:sz w:val="24"/>
            </w:rPr>
          </w:pPr>
          <w:r>
            <w:rPr>
              <w:sz w:val="24"/>
            </w:rPr>
            <w:t>CONFIDENTIALITY OF INFORMATION</w:t>
          </w:r>
        </w:p>
      </w:tc>
    </w:tr>
    <w:tr w:rsidR="00A15E59" w:rsidRPr="00A15E59" w14:paraId="4A81C1E1" w14:textId="77777777" w:rsidTr="009A5ACF">
      <w:trPr>
        <w:cnfStyle w:val="000000010000" w:firstRow="0" w:lastRow="0" w:firstColumn="0" w:lastColumn="0" w:oddVBand="0" w:evenVBand="0" w:oddHBand="0" w:evenHBand="1"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7650" w:type="dxa"/>
          <w:vAlign w:val="center"/>
        </w:tcPr>
        <w:p w14:paraId="7EEB8CBD" w14:textId="348BC54F" w:rsidR="00A15E59" w:rsidRDefault="00A15E59" w:rsidP="0017202D">
          <w:pPr>
            <w:pStyle w:val="Header"/>
            <w:spacing w:before="0"/>
            <w:jc w:val="left"/>
            <w:rPr>
              <w:b w:val="0"/>
            </w:rPr>
          </w:pPr>
        </w:p>
        <w:p w14:paraId="3A37FE12" w14:textId="6D05F63D" w:rsidR="00FE3E06" w:rsidRPr="00A15E59" w:rsidRDefault="00FE3E06" w:rsidP="0017202D">
          <w:pPr>
            <w:pStyle w:val="Header"/>
            <w:spacing w:before="0"/>
            <w:jc w:val="left"/>
          </w:pPr>
          <w:r>
            <w:t>Robertson County Special Services</w:t>
          </w:r>
        </w:p>
      </w:tc>
      <w:tc>
        <w:tcPr>
          <w:tcW w:w="1710" w:type="dxa"/>
          <w:vAlign w:val="center"/>
        </w:tcPr>
        <w:p w14:paraId="111AC199" w14:textId="6AF1E0DA" w:rsidR="00A15E59" w:rsidRPr="00A15E59" w:rsidRDefault="00A15E59" w:rsidP="0017202D">
          <w:pPr>
            <w:pStyle w:val="Header"/>
            <w:spacing w:before="0"/>
            <w:jc w:val="right"/>
            <w:cnfStyle w:val="000000010000" w:firstRow="0" w:lastRow="0" w:firstColumn="0" w:lastColumn="0" w:oddVBand="0" w:evenVBand="0" w:oddHBand="0" w:evenHBand="1" w:firstRowFirstColumn="0" w:firstRowLastColumn="0" w:lastRowFirstColumn="0" w:lastRowLastColumn="0"/>
          </w:pPr>
        </w:p>
      </w:tc>
    </w:tr>
  </w:tbl>
  <w:p w14:paraId="6EF7B086" w14:textId="77777777" w:rsidR="00A15E59" w:rsidRPr="00A15E59" w:rsidRDefault="00A15E59" w:rsidP="00A15E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16A9C" w14:textId="77777777" w:rsidR="004D65A8" w:rsidRDefault="004D65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E7A2C5D6"/>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A7EECFE8"/>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20A24F8A"/>
    <w:lvl w:ilvl="0">
      <w:start w:val="1"/>
      <w:numFmt w:val="decimal"/>
      <w:lvlText w:val="%1."/>
      <w:lvlJc w:val="left"/>
      <w:pPr>
        <w:tabs>
          <w:tab w:val="num" w:pos="720"/>
        </w:tabs>
        <w:ind w:left="720" w:hanging="360"/>
      </w:pPr>
    </w:lvl>
  </w:abstractNum>
  <w:abstractNum w:abstractNumId="3" w15:restartNumberingAfterBreak="0">
    <w:nsid w:val="FFFFFF80"/>
    <w:multiLevelType w:val="singleLevel"/>
    <w:tmpl w:val="47FC1C54"/>
    <w:lvl w:ilvl="0">
      <w:start w:val="1"/>
      <w:numFmt w:val="bullet"/>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8770577A"/>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07581636"/>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A25638B0"/>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20C0E57A"/>
    <w:lvl w:ilvl="0">
      <w:start w:val="1"/>
      <w:numFmt w:val="decimal"/>
      <w:pStyle w:val="ListNumber"/>
      <w:lvlText w:val="%1."/>
      <w:lvlJc w:val="left"/>
      <w:pPr>
        <w:tabs>
          <w:tab w:val="num" w:pos="720"/>
        </w:tabs>
        <w:ind w:left="720" w:hanging="360"/>
      </w:pPr>
      <w:rPr>
        <w:rFonts w:hint="default"/>
      </w:rPr>
    </w:lvl>
  </w:abstractNum>
  <w:abstractNum w:abstractNumId="8" w15:restartNumberingAfterBreak="0">
    <w:nsid w:val="FFFFFF89"/>
    <w:multiLevelType w:val="singleLevel"/>
    <w:tmpl w:val="F20C615C"/>
    <w:lvl w:ilvl="0">
      <w:start w:val="1"/>
      <w:numFmt w:val="bullet"/>
      <w:pStyle w:val="ListBullet"/>
      <w:lvlText w:val=""/>
      <w:lvlJc w:val="left"/>
      <w:pPr>
        <w:tabs>
          <w:tab w:val="num" w:pos="720"/>
        </w:tabs>
        <w:ind w:left="720" w:hanging="360"/>
      </w:pPr>
      <w:rPr>
        <w:rFonts w:ascii="Symbol" w:hAnsi="Symbol" w:hint="default"/>
      </w:rPr>
    </w:lvl>
  </w:abstractNum>
  <w:abstractNum w:abstractNumId="9" w15:restartNumberingAfterBreak="0">
    <w:nsid w:val="0DBA41CE"/>
    <w:multiLevelType w:val="hybridMultilevel"/>
    <w:tmpl w:val="8494B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0F5CD3"/>
    <w:multiLevelType w:val="hybridMultilevel"/>
    <w:tmpl w:val="BDBC7B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5AE7BCF"/>
    <w:multiLevelType w:val="hybridMultilevel"/>
    <w:tmpl w:val="9E1E5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0A42EF"/>
    <w:multiLevelType w:val="hybridMultilevel"/>
    <w:tmpl w:val="E094167E"/>
    <w:lvl w:ilvl="0" w:tplc="A072D43E">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126529"/>
    <w:multiLevelType w:val="hybridMultilevel"/>
    <w:tmpl w:val="42FC1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C13BDD"/>
    <w:multiLevelType w:val="hybridMultilevel"/>
    <w:tmpl w:val="A7B2C0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6684AAA"/>
    <w:multiLevelType w:val="hybridMultilevel"/>
    <w:tmpl w:val="2E6E7C1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15:restartNumberingAfterBreak="0">
    <w:nsid w:val="5F047446"/>
    <w:multiLevelType w:val="hybridMultilevel"/>
    <w:tmpl w:val="C23AE0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57C1260"/>
    <w:multiLevelType w:val="hybridMultilevel"/>
    <w:tmpl w:val="07A45F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A3314C"/>
    <w:multiLevelType w:val="hybridMultilevel"/>
    <w:tmpl w:val="BC36D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403B8D"/>
    <w:multiLevelType w:val="hybridMultilevel"/>
    <w:tmpl w:val="53868F32"/>
    <w:lvl w:ilvl="0" w:tplc="E996B28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3"/>
  </w:num>
  <w:num w:numId="6">
    <w:abstractNumId w:val="7"/>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2"/>
  </w:num>
  <w:num w:numId="11">
    <w:abstractNumId w:val="1"/>
  </w:num>
  <w:num w:numId="12">
    <w:abstractNumId w:val="0"/>
  </w:num>
  <w:num w:numId="13">
    <w:abstractNumId w:val="10"/>
  </w:num>
  <w:num w:numId="14">
    <w:abstractNumId w:val="19"/>
  </w:num>
  <w:num w:numId="15">
    <w:abstractNumId w:val="13"/>
  </w:num>
  <w:num w:numId="16">
    <w:abstractNumId w:val="12"/>
  </w:num>
  <w:num w:numId="17">
    <w:abstractNumId w:val="9"/>
  </w:num>
  <w:num w:numId="18">
    <w:abstractNumId w:val="11"/>
  </w:num>
  <w:num w:numId="19">
    <w:abstractNumId w:val="16"/>
  </w:num>
  <w:num w:numId="20">
    <w:abstractNumId w:val="17"/>
  </w:num>
  <w:num w:numId="21">
    <w:abstractNumId w:val="14"/>
  </w:num>
  <w:num w:numId="22">
    <w:abstractNumId w:val="18"/>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efaultTableStyle w:val="GeneralPaperTabl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31F"/>
    <w:rsid w:val="00001656"/>
    <w:rsid w:val="00026EFA"/>
    <w:rsid w:val="00027F91"/>
    <w:rsid w:val="00071BB0"/>
    <w:rsid w:val="000947F0"/>
    <w:rsid w:val="000C084D"/>
    <w:rsid w:val="000C551A"/>
    <w:rsid w:val="0010401E"/>
    <w:rsid w:val="00126CD3"/>
    <w:rsid w:val="00140EB8"/>
    <w:rsid w:val="0017202D"/>
    <w:rsid w:val="001C6AC8"/>
    <w:rsid w:val="001E4ECB"/>
    <w:rsid w:val="002045E8"/>
    <w:rsid w:val="0024207F"/>
    <w:rsid w:val="00271990"/>
    <w:rsid w:val="00287E6A"/>
    <w:rsid w:val="002A5B1D"/>
    <w:rsid w:val="002B2B15"/>
    <w:rsid w:val="002C1DFD"/>
    <w:rsid w:val="00307142"/>
    <w:rsid w:val="00380733"/>
    <w:rsid w:val="003920EE"/>
    <w:rsid w:val="003A2816"/>
    <w:rsid w:val="0041495C"/>
    <w:rsid w:val="00426C23"/>
    <w:rsid w:val="004408BF"/>
    <w:rsid w:val="00452D0C"/>
    <w:rsid w:val="00462709"/>
    <w:rsid w:val="00482E17"/>
    <w:rsid w:val="004B04D3"/>
    <w:rsid w:val="004D5777"/>
    <w:rsid w:val="004D65A8"/>
    <w:rsid w:val="004E2A26"/>
    <w:rsid w:val="004F27C1"/>
    <w:rsid w:val="004F452C"/>
    <w:rsid w:val="00512E3A"/>
    <w:rsid w:val="00566A2A"/>
    <w:rsid w:val="005D6C02"/>
    <w:rsid w:val="00626F9B"/>
    <w:rsid w:val="00631AB1"/>
    <w:rsid w:val="00684BE1"/>
    <w:rsid w:val="006951E3"/>
    <w:rsid w:val="00696195"/>
    <w:rsid w:val="006964A5"/>
    <w:rsid w:val="006E3F0A"/>
    <w:rsid w:val="00727C62"/>
    <w:rsid w:val="007A30FA"/>
    <w:rsid w:val="007D5D41"/>
    <w:rsid w:val="00830397"/>
    <w:rsid w:val="00850B01"/>
    <w:rsid w:val="00884D94"/>
    <w:rsid w:val="0088584F"/>
    <w:rsid w:val="008E1425"/>
    <w:rsid w:val="00907D9F"/>
    <w:rsid w:val="00924B11"/>
    <w:rsid w:val="009415A3"/>
    <w:rsid w:val="00962988"/>
    <w:rsid w:val="00967407"/>
    <w:rsid w:val="00976E6E"/>
    <w:rsid w:val="009A61DE"/>
    <w:rsid w:val="009E3637"/>
    <w:rsid w:val="00A15E59"/>
    <w:rsid w:val="00A312B9"/>
    <w:rsid w:val="00AD4645"/>
    <w:rsid w:val="00AF4B0B"/>
    <w:rsid w:val="00BA5D25"/>
    <w:rsid w:val="00BA678D"/>
    <w:rsid w:val="00BE4795"/>
    <w:rsid w:val="00BE4D54"/>
    <w:rsid w:val="00BF06FA"/>
    <w:rsid w:val="00C24BAB"/>
    <w:rsid w:val="00C2558A"/>
    <w:rsid w:val="00C65DF0"/>
    <w:rsid w:val="00CD22C5"/>
    <w:rsid w:val="00CE5EEE"/>
    <w:rsid w:val="00D45E93"/>
    <w:rsid w:val="00D54A17"/>
    <w:rsid w:val="00DB0926"/>
    <w:rsid w:val="00DB231F"/>
    <w:rsid w:val="00DF5B98"/>
    <w:rsid w:val="00DF5B9C"/>
    <w:rsid w:val="00E00450"/>
    <w:rsid w:val="00E009AB"/>
    <w:rsid w:val="00E030A9"/>
    <w:rsid w:val="00E164D4"/>
    <w:rsid w:val="00E21132"/>
    <w:rsid w:val="00E8548F"/>
    <w:rsid w:val="00ED12C4"/>
    <w:rsid w:val="00ED5C01"/>
    <w:rsid w:val="00EE1684"/>
    <w:rsid w:val="00EF6C86"/>
    <w:rsid w:val="00F04CEA"/>
    <w:rsid w:val="00F0660D"/>
    <w:rsid w:val="00F11CFF"/>
    <w:rsid w:val="00F90F60"/>
    <w:rsid w:val="00FC4DAA"/>
    <w:rsid w:val="00FE3E06"/>
    <w:rsid w:val="00FF6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589D26"/>
  <w15:docId w15:val="{D9D576D8-839F-4165-B75E-4F205E0B6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F3966" w:themeColor="accent1"/>
        <w:sz w:val="24"/>
        <w:szCs w:val="24"/>
        <w:lang w:val="en-US"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551A"/>
    <w:rPr>
      <w:rFonts w:ascii="Verdana" w:hAnsi="Verdana"/>
      <w:sz w:val="20"/>
    </w:rPr>
  </w:style>
  <w:style w:type="paragraph" w:styleId="Heading1">
    <w:name w:val="heading 1"/>
    <w:basedOn w:val="Normal"/>
    <w:next w:val="Normal"/>
    <w:link w:val="Heading1Char"/>
    <w:uiPriority w:val="9"/>
    <w:qFormat/>
    <w:rsid w:val="00D54A17"/>
    <w:pPr>
      <w:keepNext/>
      <w:keepLines/>
      <w:spacing w:before="60" w:after="60" w:line="240" w:lineRule="auto"/>
      <w:jc w:val="center"/>
      <w:outlineLvl w:val="0"/>
    </w:pPr>
    <w:rPr>
      <w:rFonts w:eastAsiaTheme="majorEastAsia" w:cstheme="majorBidi"/>
      <w:sz w:val="24"/>
      <w:szCs w:val="32"/>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spacing w:after="600" w:line="240" w:lineRule="auto"/>
      <w:contextualSpacing/>
    </w:pPr>
    <w:rPr>
      <w:rFonts w:asciiTheme="majorHAnsi" w:eastAsiaTheme="majorEastAsia" w:hAnsiTheme="majorHAnsi" w:cstheme="majorBidi"/>
      <w:b/>
      <w:sz w:val="78"/>
      <w:szCs w:val="56"/>
    </w:rPr>
  </w:style>
  <w:style w:type="character" w:customStyle="1" w:styleId="TitleChar">
    <w:name w:val="Title Char"/>
    <w:basedOn w:val="DefaultParagraphFont"/>
    <w:link w:val="Title"/>
    <w:uiPriority w:val="1"/>
    <w:rPr>
      <w:rFonts w:asciiTheme="majorHAnsi" w:eastAsiaTheme="majorEastAsia" w:hAnsiTheme="majorHAnsi" w:cstheme="majorBidi"/>
      <w:b/>
      <w:sz w:val="78"/>
      <w:szCs w:val="56"/>
    </w:rPr>
  </w:style>
  <w:style w:type="character" w:customStyle="1" w:styleId="Heading1Char">
    <w:name w:val="Heading 1 Char"/>
    <w:basedOn w:val="DefaultParagraphFont"/>
    <w:link w:val="Heading1"/>
    <w:uiPriority w:val="9"/>
    <w:rsid w:val="00D54A17"/>
    <w:rPr>
      <w:rFonts w:ascii="Verdana" w:eastAsiaTheme="majorEastAsia" w:hAnsi="Verdana" w:cstheme="majorBidi"/>
      <w:szCs w:val="32"/>
    </w:rPr>
  </w:style>
  <w:style w:type="paragraph" w:styleId="Quote">
    <w:name w:val="Quote"/>
    <w:basedOn w:val="Normal"/>
    <w:next w:val="Normal"/>
    <w:link w:val="QuoteChar"/>
    <w:uiPriority w:val="11"/>
    <w:qFormat/>
    <w:pPr>
      <w:spacing w:before="200" w:after="200"/>
    </w:pPr>
    <w:rPr>
      <w:i/>
      <w:iCs/>
      <w:sz w:val="36"/>
    </w:rPr>
  </w:style>
  <w:style w:type="character" w:customStyle="1" w:styleId="QuoteChar">
    <w:name w:val="Quote Char"/>
    <w:basedOn w:val="DefaultParagraphFont"/>
    <w:link w:val="Quote"/>
    <w:uiPriority w:val="11"/>
    <w:rPr>
      <w:i/>
      <w:iCs/>
      <w:sz w:val="3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eneralPaperTable">
    <w:name w:val="General Paper Table"/>
    <w:basedOn w:val="TableNormal"/>
    <w:uiPriority w:val="99"/>
    <w:pPr>
      <w:spacing w:before="120" w:after="80" w:line="240" w:lineRule="auto"/>
    </w:pPr>
    <w:tblPr>
      <w:tblStyleRowBandSize w:val="1"/>
      <w:tblCellMar>
        <w:left w:w="0" w:type="dxa"/>
        <w:right w:w="634" w:type="dxa"/>
      </w:tblCellMar>
    </w:tblPr>
    <w:tblStylePr w:type="firstRow">
      <w:pPr>
        <w:wordWrap/>
        <w:spacing w:beforeLines="0" w:before="120" w:beforeAutospacing="0" w:afterLines="0" w:after="120" w:afterAutospacing="0"/>
        <w:contextualSpacing w:val="0"/>
        <w:jc w:val="left"/>
      </w:pPr>
      <w:rPr>
        <w:b/>
        <w:i w:val="0"/>
        <w:color w:val="FFFFFF" w:themeColor="background1"/>
        <w:sz w:val="32"/>
      </w:rPr>
      <w:tblPr/>
      <w:trPr>
        <w:tblHeader/>
      </w:trPr>
      <w:tcPr>
        <w:shd w:val="clear" w:color="auto" w:fill="0F3966" w:themeFill="accent1"/>
      </w:tcPr>
    </w:tblStylePr>
    <w:tblStylePr w:type="firstCol">
      <w:pPr>
        <w:wordWrap/>
        <w:spacing w:beforeLines="0" w:before="120" w:beforeAutospacing="0" w:afterLines="0" w:after="80" w:afterAutospacing="0"/>
        <w:contextualSpacing w:val="0"/>
        <w:jc w:val="right"/>
      </w:pPr>
      <w:rPr>
        <w:b/>
      </w:rPr>
    </w:tblStylePr>
    <w:tblStylePr w:type="band2Horz">
      <w:tblPr/>
      <w:tcPr>
        <w:shd w:val="clear" w:color="auto" w:fill="F6F3DE" w:themeFill="background2"/>
      </w:tcPr>
    </w:tblStylePr>
  </w:style>
  <w:style w:type="paragraph" w:styleId="ListBullet">
    <w:name w:val="List Bullet"/>
    <w:basedOn w:val="Normal"/>
    <w:uiPriority w:val="10"/>
    <w:unhideWhenUsed/>
    <w:qFormat/>
    <w:pPr>
      <w:numPr>
        <w:numId w:val="1"/>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b/>
    </w:rPr>
  </w:style>
  <w:style w:type="character" w:customStyle="1" w:styleId="FooterChar">
    <w:name w:val="Footer Char"/>
    <w:basedOn w:val="DefaultParagraphFont"/>
    <w:link w:val="Footer"/>
    <w:uiPriority w:val="99"/>
    <w:rPr>
      <w:b/>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sz w:val="26"/>
      <w:szCs w:val="2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Number">
    <w:name w:val="List Number"/>
    <w:basedOn w:val="Normal"/>
    <w:uiPriority w:val="10"/>
    <w:unhideWhenUsed/>
    <w:qFormat/>
    <w:pPr>
      <w:numPr>
        <w:numId w:val="6"/>
      </w:numPr>
      <w:contextualSpacing/>
    </w:pPr>
  </w:style>
  <w:style w:type="character" w:styleId="Hyperlink">
    <w:name w:val="Hyperlink"/>
    <w:basedOn w:val="DefaultParagraphFont"/>
    <w:uiPriority w:val="99"/>
    <w:unhideWhenUsed/>
    <w:rsid w:val="00001656"/>
    <w:rPr>
      <w:color w:val="0F97A5" w:themeColor="hyperlink"/>
      <w:u w:val="single"/>
    </w:rPr>
  </w:style>
  <w:style w:type="character" w:styleId="FollowedHyperlink">
    <w:name w:val="FollowedHyperlink"/>
    <w:basedOn w:val="DefaultParagraphFont"/>
    <w:uiPriority w:val="99"/>
    <w:semiHidden/>
    <w:unhideWhenUsed/>
    <w:rsid w:val="00001656"/>
    <w:rPr>
      <w:color w:val="A33B69" w:themeColor="followedHyperlink"/>
      <w:u w:val="single"/>
    </w:rPr>
  </w:style>
  <w:style w:type="paragraph" w:styleId="ListParagraph">
    <w:name w:val="List Paragraph"/>
    <w:aliases w:val="Numbered List Paragraph"/>
    <w:basedOn w:val="Normal"/>
    <w:link w:val="ListParagraphChar"/>
    <w:uiPriority w:val="34"/>
    <w:qFormat/>
    <w:rsid w:val="00DF5B98"/>
    <w:pPr>
      <w:ind w:left="720"/>
      <w:contextualSpacing/>
    </w:pPr>
  </w:style>
  <w:style w:type="paragraph" w:styleId="NormalWeb">
    <w:name w:val="Normal (Web)"/>
    <w:basedOn w:val="Normal"/>
    <w:uiPriority w:val="99"/>
    <w:semiHidden/>
    <w:unhideWhenUsed/>
    <w:rsid w:val="00E8548F"/>
    <w:pPr>
      <w:spacing w:before="100" w:beforeAutospacing="1" w:after="100" w:afterAutospacing="1" w:line="240" w:lineRule="auto"/>
    </w:pPr>
    <w:rPr>
      <w:rFonts w:ascii="Times New Roman" w:eastAsia="Times New Roman" w:hAnsi="Times New Roman" w:cs="Times New Roman"/>
      <w:color w:val="auto"/>
      <w:sz w:val="24"/>
    </w:rPr>
  </w:style>
  <w:style w:type="character" w:customStyle="1" w:styleId="ListParagraphChar">
    <w:name w:val="List Paragraph Char"/>
    <w:aliases w:val="Numbered List Paragraph Char"/>
    <w:link w:val="ListParagraph"/>
    <w:uiPriority w:val="34"/>
    <w:locked/>
    <w:rsid w:val="00307142"/>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870397">
      <w:bodyDiv w:val="1"/>
      <w:marLeft w:val="0"/>
      <w:marRight w:val="0"/>
      <w:marTop w:val="0"/>
      <w:marBottom w:val="0"/>
      <w:divBdr>
        <w:top w:val="none" w:sz="0" w:space="0" w:color="auto"/>
        <w:left w:val="none" w:sz="0" w:space="0" w:color="auto"/>
        <w:bottom w:val="none" w:sz="0" w:space="0" w:color="auto"/>
        <w:right w:val="none" w:sz="0" w:space="0" w:color="auto"/>
      </w:divBdr>
    </w:div>
    <w:div w:id="643704193">
      <w:bodyDiv w:val="1"/>
      <w:marLeft w:val="0"/>
      <w:marRight w:val="0"/>
      <w:marTop w:val="0"/>
      <w:marBottom w:val="0"/>
      <w:divBdr>
        <w:top w:val="none" w:sz="0" w:space="0" w:color="auto"/>
        <w:left w:val="none" w:sz="0" w:space="0" w:color="auto"/>
        <w:bottom w:val="none" w:sz="0" w:space="0" w:color="auto"/>
        <w:right w:val="none" w:sz="0" w:space="0" w:color="auto"/>
      </w:divBdr>
    </w:div>
    <w:div w:id="731857086">
      <w:bodyDiv w:val="1"/>
      <w:marLeft w:val="0"/>
      <w:marRight w:val="0"/>
      <w:marTop w:val="0"/>
      <w:marBottom w:val="0"/>
      <w:divBdr>
        <w:top w:val="none" w:sz="0" w:space="0" w:color="auto"/>
        <w:left w:val="none" w:sz="0" w:space="0" w:color="auto"/>
        <w:bottom w:val="none" w:sz="0" w:space="0" w:color="auto"/>
        <w:right w:val="none" w:sz="0" w:space="0" w:color="auto"/>
      </w:divBdr>
    </w:div>
    <w:div w:id="1246258526">
      <w:bodyDiv w:val="1"/>
      <w:marLeft w:val="0"/>
      <w:marRight w:val="0"/>
      <w:marTop w:val="0"/>
      <w:marBottom w:val="0"/>
      <w:divBdr>
        <w:top w:val="none" w:sz="0" w:space="0" w:color="auto"/>
        <w:left w:val="none" w:sz="0" w:space="0" w:color="auto"/>
        <w:bottom w:val="none" w:sz="0" w:space="0" w:color="auto"/>
        <w:right w:val="none" w:sz="0" w:space="0" w:color="auto"/>
      </w:divBdr>
    </w:div>
    <w:div w:id="1397629864">
      <w:bodyDiv w:val="1"/>
      <w:marLeft w:val="0"/>
      <w:marRight w:val="0"/>
      <w:marTop w:val="0"/>
      <w:marBottom w:val="0"/>
      <w:divBdr>
        <w:top w:val="none" w:sz="0" w:space="0" w:color="auto"/>
        <w:left w:val="none" w:sz="0" w:space="0" w:color="auto"/>
        <w:bottom w:val="none" w:sz="0" w:space="0" w:color="auto"/>
        <w:right w:val="none" w:sz="0" w:space="0" w:color="auto"/>
      </w:divBdr>
      <w:divsChild>
        <w:div w:id="1538732792">
          <w:marLeft w:val="0"/>
          <w:marRight w:val="0"/>
          <w:marTop w:val="0"/>
          <w:marBottom w:val="0"/>
          <w:divBdr>
            <w:top w:val="none" w:sz="0" w:space="0" w:color="auto"/>
            <w:left w:val="none" w:sz="0" w:space="0" w:color="auto"/>
            <w:bottom w:val="none" w:sz="0" w:space="0" w:color="auto"/>
            <w:right w:val="none" w:sz="0" w:space="0" w:color="auto"/>
          </w:divBdr>
        </w:div>
        <w:div w:id="1533109113">
          <w:marLeft w:val="0"/>
          <w:marRight w:val="0"/>
          <w:marTop w:val="0"/>
          <w:marBottom w:val="0"/>
          <w:divBdr>
            <w:top w:val="none" w:sz="0" w:space="0" w:color="auto"/>
            <w:left w:val="none" w:sz="0" w:space="0" w:color="auto"/>
            <w:bottom w:val="none" w:sz="0" w:space="0" w:color="auto"/>
            <w:right w:val="none" w:sz="0" w:space="0" w:color="auto"/>
          </w:divBdr>
        </w:div>
        <w:div w:id="1262686478">
          <w:marLeft w:val="0"/>
          <w:marRight w:val="0"/>
          <w:marTop w:val="0"/>
          <w:marBottom w:val="0"/>
          <w:divBdr>
            <w:top w:val="none" w:sz="0" w:space="0" w:color="auto"/>
            <w:left w:val="none" w:sz="0" w:space="0" w:color="auto"/>
            <w:bottom w:val="none" w:sz="0" w:space="0" w:color="auto"/>
            <w:right w:val="none" w:sz="0" w:space="0" w:color="auto"/>
          </w:divBdr>
        </w:div>
        <w:div w:id="1712218923">
          <w:marLeft w:val="0"/>
          <w:marRight w:val="0"/>
          <w:marTop w:val="0"/>
          <w:marBottom w:val="0"/>
          <w:divBdr>
            <w:top w:val="none" w:sz="0" w:space="0" w:color="auto"/>
            <w:left w:val="none" w:sz="0" w:space="0" w:color="auto"/>
            <w:bottom w:val="none" w:sz="0" w:space="0" w:color="auto"/>
            <w:right w:val="none" w:sz="0" w:space="0" w:color="auto"/>
          </w:divBdr>
        </w:div>
        <w:div w:id="205529080">
          <w:marLeft w:val="0"/>
          <w:marRight w:val="0"/>
          <w:marTop w:val="0"/>
          <w:marBottom w:val="0"/>
          <w:divBdr>
            <w:top w:val="none" w:sz="0" w:space="0" w:color="auto"/>
            <w:left w:val="none" w:sz="0" w:space="0" w:color="auto"/>
            <w:bottom w:val="none" w:sz="0" w:space="0" w:color="auto"/>
            <w:right w:val="none" w:sz="0" w:space="0" w:color="auto"/>
          </w:divBdr>
        </w:div>
        <w:div w:id="1902666398">
          <w:marLeft w:val="0"/>
          <w:marRight w:val="0"/>
          <w:marTop w:val="0"/>
          <w:marBottom w:val="0"/>
          <w:divBdr>
            <w:top w:val="none" w:sz="0" w:space="0" w:color="auto"/>
            <w:left w:val="none" w:sz="0" w:space="0" w:color="auto"/>
            <w:bottom w:val="none" w:sz="0" w:space="0" w:color="auto"/>
            <w:right w:val="none" w:sz="0" w:space="0" w:color="auto"/>
          </w:divBdr>
        </w:div>
        <w:div w:id="2038774985">
          <w:marLeft w:val="0"/>
          <w:marRight w:val="0"/>
          <w:marTop w:val="0"/>
          <w:marBottom w:val="0"/>
          <w:divBdr>
            <w:top w:val="none" w:sz="0" w:space="0" w:color="auto"/>
            <w:left w:val="none" w:sz="0" w:space="0" w:color="auto"/>
            <w:bottom w:val="none" w:sz="0" w:space="0" w:color="auto"/>
            <w:right w:val="none" w:sz="0" w:space="0" w:color="auto"/>
          </w:divBdr>
        </w:div>
        <w:div w:id="311830775">
          <w:marLeft w:val="0"/>
          <w:marRight w:val="0"/>
          <w:marTop w:val="0"/>
          <w:marBottom w:val="0"/>
          <w:divBdr>
            <w:top w:val="none" w:sz="0" w:space="0" w:color="auto"/>
            <w:left w:val="none" w:sz="0" w:space="0" w:color="auto"/>
            <w:bottom w:val="none" w:sz="0" w:space="0" w:color="auto"/>
            <w:right w:val="none" w:sz="0" w:space="0" w:color="auto"/>
          </w:divBdr>
        </w:div>
        <w:div w:id="714934552">
          <w:marLeft w:val="0"/>
          <w:marRight w:val="0"/>
          <w:marTop w:val="0"/>
          <w:marBottom w:val="0"/>
          <w:divBdr>
            <w:top w:val="none" w:sz="0" w:space="0" w:color="auto"/>
            <w:left w:val="none" w:sz="0" w:space="0" w:color="auto"/>
            <w:bottom w:val="none" w:sz="0" w:space="0" w:color="auto"/>
            <w:right w:val="none" w:sz="0" w:space="0" w:color="auto"/>
          </w:divBdr>
        </w:div>
        <w:div w:id="1702054914">
          <w:marLeft w:val="0"/>
          <w:marRight w:val="0"/>
          <w:marTop w:val="0"/>
          <w:marBottom w:val="0"/>
          <w:divBdr>
            <w:top w:val="none" w:sz="0" w:space="0" w:color="auto"/>
            <w:left w:val="none" w:sz="0" w:space="0" w:color="auto"/>
            <w:bottom w:val="none" w:sz="0" w:space="0" w:color="auto"/>
            <w:right w:val="none" w:sz="0" w:space="0" w:color="auto"/>
          </w:divBdr>
        </w:div>
        <w:div w:id="2093816369">
          <w:marLeft w:val="0"/>
          <w:marRight w:val="0"/>
          <w:marTop w:val="0"/>
          <w:marBottom w:val="0"/>
          <w:divBdr>
            <w:top w:val="none" w:sz="0" w:space="0" w:color="auto"/>
            <w:left w:val="none" w:sz="0" w:space="0" w:color="auto"/>
            <w:bottom w:val="none" w:sz="0" w:space="0" w:color="auto"/>
            <w:right w:val="none" w:sz="0" w:space="0" w:color="auto"/>
          </w:divBdr>
        </w:div>
        <w:div w:id="15960877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ramework.esc18.net/display/Webforms/ESC18-FW-Summary.aspx?FID=179&amp;DT=G&amp;LID=en" TargetMode="External"/><Relationship Id="rId13" Type="http://schemas.openxmlformats.org/officeDocument/2006/relationships/hyperlink" Target="https://studentprivacy.ed.gov/resources/protecting-student-privacy-while-using-online-educational-services-model-terms-service"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tudentprivacy.ed.go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2.ed.gov/policy/speced/guid/idea/letters/2008-2/copenhaver041708ferpa2q2008.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2.ed.gov/policy/speced/guid/idea/letters/2008-1/anderson030708confidentiality1q2008.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2.ed.gov/policy/speced/guid/idea/letters/2008-2/copenhaver041708ferpa2q2008.pdf" TargetMode="External"/><Relationship Id="rId14" Type="http://schemas.openxmlformats.org/officeDocument/2006/relationships/hyperlink" Target="http://framework.esc18.net/display/Webforms/LandingPage.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081D33"/>
      </a:dk2>
      <a:lt2>
        <a:srgbClr val="F6F3DE"/>
      </a:lt2>
      <a:accent1>
        <a:srgbClr val="0F3966"/>
      </a:accent1>
      <a:accent2>
        <a:srgbClr val="D98742"/>
      </a:accent2>
      <a:accent3>
        <a:srgbClr val="E0CC66"/>
      </a:accent3>
      <a:accent4>
        <a:srgbClr val="705436"/>
      </a:accent4>
      <a:accent5>
        <a:srgbClr val="75A54F"/>
      </a:accent5>
      <a:accent6>
        <a:srgbClr val="A33B69"/>
      </a:accent6>
      <a:hlink>
        <a:srgbClr val="0F97A5"/>
      </a:hlink>
      <a:folHlink>
        <a:srgbClr val="A33B6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6F605640-1F09-4C66-B247-8EDDE0C79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1442</Words>
  <Characters>8221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Region 18 ESC</Company>
  <LinksUpToDate>false</LinksUpToDate>
  <CharactersWithSpaces>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Whitley</dc:creator>
  <cp:keywords/>
  <cp:lastModifiedBy>Leslee Falco</cp:lastModifiedBy>
  <cp:revision>25</cp:revision>
  <cp:lastPrinted>2016-03-01T22:06:00Z</cp:lastPrinted>
  <dcterms:created xsi:type="dcterms:W3CDTF">2021-11-01T16:46:00Z</dcterms:created>
  <dcterms:modified xsi:type="dcterms:W3CDTF">2025-10-27T14:52:00Z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