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52C" w:rsidRPr="008E1425" w:rsidRDefault="002045E8" w:rsidP="009415A3">
      <w:pPr>
        <w:tabs>
          <w:tab w:val="right" w:pos="9360"/>
        </w:tabs>
        <w:spacing w:after="0" w:line="240" w:lineRule="auto"/>
        <w:rPr>
          <w:color w:val="000000" w:themeColor="text1"/>
          <w:szCs w:val="20"/>
        </w:rPr>
      </w:pPr>
      <w:r w:rsidRPr="008E1425">
        <w:rPr>
          <w:color w:val="000000" w:themeColor="text1"/>
          <w:szCs w:val="20"/>
        </w:rPr>
        <w:t>Legal Framework:</w:t>
      </w:r>
      <w:r w:rsidR="00CE5EEE">
        <w:rPr>
          <w:color w:val="000000" w:themeColor="text1"/>
          <w:szCs w:val="20"/>
        </w:rPr>
        <w:t xml:space="preserve">  </w:t>
      </w:r>
      <w:hyperlink r:id="rId8" w:tgtFrame="_blank" w:history="1">
        <w:r w:rsidR="003F02D1">
          <w:rPr>
            <w:rStyle w:val="Hyperlink"/>
            <w:szCs w:val="20"/>
          </w:rPr>
          <w:t>Consent for Reevaluation</w:t>
        </w:r>
      </w:hyperlink>
      <w:r w:rsidRPr="008E1425">
        <w:rPr>
          <w:color w:val="000000" w:themeColor="text1"/>
          <w:szCs w:val="20"/>
        </w:rPr>
        <w:t xml:space="preserve"> </w:t>
      </w:r>
    </w:p>
    <w:p w:rsidR="002045E8" w:rsidRPr="009415A3" w:rsidRDefault="002045E8" w:rsidP="009415A3">
      <w:pPr>
        <w:tabs>
          <w:tab w:val="right" w:pos="9360"/>
        </w:tabs>
        <w:spacing w:after="0" w:line="240" w:lineRule="auto"/>
        <w:rPr>
          <w:color w:val="000000" w:themeColor="text1"/>
          <w:szCs w:val="20"/>
        </w:rPr>
      </w:pPr>
      <w:r w:rsidRPr="008E1425">
        <w:rPr>
          <w:color w:val="000000" w:themeColor="text1"/>
          <w:szCs w:val="20"/>
        </w:rPr>
        <w:t>Category:</w:t>
      </w:r>
      <w:r w:rsidR="00C24BAB">
        <w:rPr>
          <w:color w:val="000000" w:themeColor="text1"/>
          <w:szCs w:val="20"/>
        </w:rPr>
        <w:t xml:space="preserve">  </w:t>
      </w:r>
      <w:r w:rsidR="003F02D1">
        <w:rPr>
          <w:color w:val="000000" w:themeColor="text1"/>
          <w:szCs w:val="20"/>
        </w:rPr>
        <w:t>Consent</w:t>
      </w:r>
      <w:r w:rsidR="009415A3">
        <w:rPr>
          <w:color w:val="000099"/>
          <w:szCs w:val="20"/>
        </w:rPr>
        <w:tab/>
      </w:r>
      <w:r w:rsidR="00980EAE">
        <w:rPr>
          <w:color w:val="000000" w:themeColor="text1"/>
          <w:sz w:val="12"/>
          <w:szCs w:val="12"/>
        </w:rPr>
        <w:t>Template update Oct</w:t>
      </w:r>
      <w:r w:rsidR="009415A3" w:rsidRPr="009415A3">
        <w:rPr>
          <w:color w:val="000000" w:themeColor="text1"/>
          <w:sz w:val="12"/>
          <w:szCs w:val="12"/>
        </w:rPr>
        <w:t xml:space="preserve"> 2016</w:t>
      </w:r>
    </w:p>
    <w:p w:rsidR="00D46B8E" w:rsidRPr="00F64337" w:rsidRDefault="00D46B8E" w:rsidP="00F64337">
      <w:pPr>
        <w:spacing w:after="0" w:line="240" w:lineRule="auto"/>
        <w:jc w:val="both"/>
        <w:rPr>
          <w:rFonts w:eastAsia="Times New Roman" w:cs="Times New Roman"/>
          <w:color w:val="auto"/>
          <w:szCs w:val="20"/>
        </w:rPr>
      </w:pPr>
    </w:p>
    <w:p w:rsidR="00F64337" w:rsidRPr="00F64337" w:rsidRDefault="00F64337" w:rsidP="00F64337">
      <w:pPr>
        <w:spacing w:after="0" w:line="240" w:lineRule="auto"/>
        <w:jc w:val="both"/>
        <w:rPr>
          <w:rFonts w:eastAsia="Times New Roman" w:cs="Times New Roman"/>
          <w:color w:val="auto"/>
          <w:szCs w:val="20"/>
        </w:rPr>
      </w:pPr>
      <w:r w:rsidRPr="00F64337">
        <w:rPr>
          <w:rFonts w:eastAsia="Times New Roman" w:cs="Times New Roman"/>
          <w:color w:val="auto"/>
          <w:szCs w:val="20"/>
        </w:rPr>
        <w:t xml:space="preserve">“The definition of </w:t>
      </w:r>
      <w:r w:rsidRPr="00F64337">
        <w:rPr>
          <w:rFonts w:eastAsia="Times New Roman" w:cs="Times New Roman"/>
          <w:i/>
          <w:color w:val="auto"/>
          <w:szCs w:val="20"/>
        </w:rPr>
        <w:t>consent</w:t>
      </w:r>
      <w:r w:rsidRPr="00F64337">
        <w:rPr>
          <w:rFonts w:eastAsia="Times New Roman" w:cs="Times New Roman"/>
          <w:color w:val="auto"/>
          <w:szCs w:val="20"/>
        </w:rPr>
        <w:t xml:space="preserve"> requires a parent to be fully informed of all information relevant to the activity for which consent is sought. The definition also requires a parent to agree in writing to an activity for which consent is sought.  Therefore, whenever consent is used in these regulations, it means that the consent is both informed and in writing.”  71 Fed. Reg. 46551 (August 14, 2006).</w:t>
      </w:r>
    </w:p>
    <w:p w:rsidR="00F64337" w:rsidRPr="00F64337" w:rsidRDefault="00F64337" w:rsidP="00F64337">
      <w:pPr>
        <w:spacing w:after="0" w:line="240" w:lineRule="auto"/>
        <w:jc w:val="both"/>
        <w:rPr>
          <w:rFonts w:eastAsia="Times New Roman" w:cs="Times New Roman"/>
          <w:color w:val="auto"/>
          <w:szCs w:val="20"/>
        </w:rPr>
      </w:pPr>
    </w:p>
    <w:p w:rsidR="00F64337" w:rsidRPr="00F64337" w:rsidRDefault="00F64337" w:rsidP="00F64337">
      <w:pPr>
        <w:spacing w:after="0" w:line="240" w:lineRule="auto"/>
        <w:jc w:val="both"/>
        <w:rPr>
          <w:rFonts w:eastAsia="Times New Roman" w:cs="Times New Roman"/>
          <w:color w:val="auto"/>
          <w:szCs w:val="20"/>
        </w:rPr>
      </w:pPr>
      <w:r w:rsidRPr="00F64337">
        <w:rPr>
          <w:rFonts w:eastAsia="Times New Roman" w:cs="Times New Roman"/>
          <w:color w:val="auto"/>
          <w:szCs w:val="20"/>
        </w:rPr>
        <w:t>“As a matter of practice, public agencies begin the process of obtaining parental consent by identifying the parent and contacting the parent by phone or through written correspondence, or speaking to the parent in parent-teacher conferences.”  71 Fed. Reg. 46629 (August 14, 2006).</w:t>
      </w:r>
    </w:p>
    <w:p w:rsidR="00F64337" w:rsidRPr="00F64337" w:rsidRDefault="00F64337" w:rsidP="00F64337">
      <w:pPr>
        <w:spacing w:after="0" w:line="240" w:lineRule="auto"/>
        <w:rPr>
          <w:rFonts w:eastAsia="Times New Roman" w:cs="Times New Roman"/>
          <w:color w:val="auto"/>
          <w:szCs w:val="20"/>
        </w:rPr>
      </w:pPr>
    </w:p>
    <w:p w:rsidR="00F64337" w:rsidRPr="00F64337" w:rsidRDefault="00F64337" w:rsidP="00F64337">
      <w:pPr>
        <w:spacing w:after="0" w:line="240" w:lineRule="auto"/>
        <w:jc w:val="both"/>
        <w:rPr>
          <w:rFonts w:eastAsia="Times New Roman" w:cs="Times New Roman"/>
          <w:color w:val="auto"/>
          <w:szCs w:val="20"/>
        </w:rPr>
      </w:pPr>
      <w:r w:rsidRPr="00F64337">
        <w:rPr>
          <w:rFonts w:eastAsia="Times New Roman" w:cs="Times New Roman"/>
          <w:color w:val="auto"/>
          <w:szCs w:val="20"/>
        </w:rPr>
        <w:t>“If a surrogate parent already has been appointed because the public agency, after reasonable efforts, could not locate a parent, the public agency would not have to again attempt to contact other individuals meeting the definition of parent in § 300.30 to seek consent.”  71 Fed. Reg. 46631 (August 14, 2006).</w:t>
      </w:r>
    </w:p>
    <w:p w:rsidR="00F64337" w:rsidRPr="00F64337" w:rsidRDefault="00F64337" w:rsidP="00F64337">
      <w:pPr>
        <w:spacing w:after="0" w:line="240" w:lineRule="auto"/>
        <w:jc w:val="both"/>
        <w:rPr>
          <w:rFonts w:eastAsia="Times New Roman" w:cs="Times New Roman"/>
          <w:color w:val="auto"/>
          <w:szCs w:val="20"/>
        </w:rPr>
      </w:pPr>
    </w:p>
    <w:p w:rsidR="00F64337" w:rsidRPr="00F64337" w:rsidRDefault="00F64337" w:rsidP="00F64337">
      <w:pPr>
        <w:spacing w:after="0" w:line="240" w:lineRule="auto"/>
        <w:jc w:val="both"/>
        <w:rPr>
          <w:rFonts w:eastAsia="Times New Roman" w:cs="Times New Roman"/>
          <w:color w:val="auto"/>
          <w:szCs w:val="20"/>
        </w:rPr>
      </w:pPr>
      <w:r w:rsidRPr="00F64337">
        <w:rPr>
          <w:rFonts w:eastAsia="Times New Roman" w:cs="Times New Roman"/>
          <w:color w:val="auto"/>
          <w:szCs w:val="20"/>
        </w:rPr>
        <w:t xml:space="preserve">“Evaluations of student progress occur as a regular part of instruction for all students in all schools. If such evaluations are designed to assess whether the child has mastered the information in, for example, chapter 10 of the social studies text, and are the same or similar to such evaluations for all children studying chapter 10 of the social studies text, parental consent would not be required for such an evaluation. If, however, the evaluation is specific to an individual child and is, as you indicated in your letter, ‘. . . crucial to determining a child's continuing eligibility for services or changes in those services,’ OSEP believes such evaluations fall under the provisions of 34 CFR §300.15 and require parental consent under the provisions of 34 CFR §300.300(a) and (c).”  </w:t>
      </w:r>
      <w:hyperlink r:id="rId9" w:history="1">
        <w:r w:rsidRPr="00F64337">
          <w:rPr>
            <w:rFonts w:eastAsia="Times New Roman" w:cs="Times New Roman"/>
            <w:i/>
            <w:color w:val="0000FF"/>
            <w:szCs w:val="20"/>
            <w:u w:val="single"/>
          </w:rPr>
          <w:t xml:space="preserve">OSEP Letter to </w:t>
        </w:r>
        <w:proofErr w:type="spellStart"/>
        <w:r w:rsidRPr="00F64337">
          <w:rPr>
            <w:rFonts w:eastAsia="Times New Roman" w:cs="Times New Roman"/>
            <w:i/>
            <w:color w:val="0000FF"/>
            <w:szCs w:val="20"/>
            <w:u w:val="single"/>
          </w:rPr>
          <w:t>Sarzynski</w:t>
        </w:r>
        <w:proofErr w:type="spellEnd"/>
        <w:r w:rsidRPr="00F64337">
          <w:rPr>
            <w:rFonts w:eastAsia="Times New Roman" w:cs="Times New Roman"/>
            <w:i/>
            <w:color w:val="0000FF"/>
            <w:szCs w:val="20"/>
            <w:u w:val="single"/>
          </w:rPr>
          <w:t xml:space="preserve"> </w:t>
        </w:r>
        <w:r w:rsidRPr="00F64337">
          <w:rPr>
            <w:rFonts w:eastAsia="Times New Roman" w:cs="Times New Roman"/>
            <w:color w:val="0000FF"/>
            <w:szCs w:val="20"/>
            <w:u w:val="single"/>
          </w:rPr>
          <w:t>(September 5, 2007)</w:t>
        </w:r>
      </w:hyperlink>
      <w:r w:rsidRPr="00F64337">
        <w:rPr>
          <w:rFonts w:eastAsia="Times New Roman" w:cs="Times New Roman"/>
          <w:color w:val="auto"/>
          <w:szCs w:val="20"/>
        </w:rPr>
        <w:t>.</w:t>
      </w:r>
    </w:p>
    <w:p w:rsidR="00F64337" w:rsidRPr="00F64337" w:rsidRDefault="00F64337" w:rsidP="00F64337">
      <w:pPr>
        <w:spacing w:after="0" w:line="240" w:lineRule="auto"/>
        <w:jc w:val="both"/>
        <w:rPr>
          <w:rFonts w:eastAsia="Times New Roman" w:cs="Times New Roman"/>
          <w:color w:val="auto"/>
          <w:szCs w:val="20"/>
        </w:rPr>
      </w:pPr>
    </w:p>
    <w:p w:rsidR="00F64337" w:rsidRPr="00F64337" w:rsidRDefault="00F64337" w:rsidP="00F64337">
      <w:pPr>
        <w:spacing w:after="0" w:line="240" w:lineRule="auto"/>
        <w:jc w:val="both"/>
        <w:rPr>
          <w:rFonts w:eastAsia="Times New Roman" w:cs="Times New Roman"/>
          <w:color w:val="auto"/>
          <w:szCs w:val="20"/>
        </w:rPr>
      </w:pPr>
      <w:r w:rsidRPr="00F64337">
        <w:rPr>
          <w:rFonts w:eastAsia="Times New Roman" w:cs="Times New Roman"/>
          <w:color w:val="auto"/>
          <w:szCs w:val="20"/>
        </w:rPr>
        <w:t xml:space="preserve">“Not every evaluation to determine the extent of a student’s progress is considered an ‘evaluation’ under 34 CFR §300.15, requiring written parental consent. . . . However, an evaluation to determine whether ‘services should be increased or decrease’ is generally considered an ‘evaluation’ under 34 CFR §300.15; and therefore, written parental consent is required.”  </w:t>
      </w:r>
      <w:hyperlink r:id="rId10" w:history="1">
        <w:r w:rsidRPr="00F64337">
          <w:rPr>
            <w:rFonts w:eastAsia="Times New Roman" w:cs="Times New Roman"/>
            <w:i/>
            <w:color w:val="0000FF"/>
            <w:szCs w:val="20"/>
            <w:u w:val="single"/>
          </w:rPr>
          <w:t xml:space="preserve">OSEP Letter to </w:t>
        </w:r>
        <w:proofErr w:type="spellStart"/>
        <w:r w:rsidRPr="00F64337">
          <w:rPr>
            <w:rFonts w:eastAsia="Times New Roman" w:cs="Times New Roman"/>
            <w:i/>
            <w:color w:val="0000FF"/>
            <w:szCs w:val="20"/>
            <w:u w:val="single"/>
          </w:rPr>
          <w:t>Sarzynski</w:t>
        </w:r>
        <w:proofErr w:type="spellEnd"/>
        <w:r w:rsidRPr="00F64337">
          <w:rPr>
            <w:rFonts w:eastAsia="Times New Roman" w:cs="Times New Roman"/>
            <w:color w:val="0000FF"/>
            <w:szCs w:val="20"/>
            <w:u w:val="single"/>
          </w:rPr>
          <w:t xml:space="preserve"> (May 6, 2008)</w:t>
        </w:r>
      </w:hyperlink>
      <w:r w:rsidRPr="00F64337">
        <w:rPr>
          <w:rFonts w:eastAsia="Times New Roman" w:cs="Times New Roman"/>
          <w:color w:val="auto"/>
          <w:szCs w:val="20"/>
        </w:rPr>
        <w:t>.</w:t>
      </w:r>
    </w:p>
    <w:p w:rsidR="00F64337" w:rsidRPr="00F64337" w:rsidRDefault="00F64337" w:rsidP="00F64337">
      <w:pPr>
        <w:spacing w:after="0" w:line="240" w:lineRule="auto"/>
        <w:jc w:val="both"/>
        <w:rPr>
          <w:rFonts w:eastAsia="Times New Roman" w:cs="Times New Roman"/>
          <w:color w:val="auto"/>
          <w:szCs w:val="20"/>
        </w:rPr>
      </w:pPr>
    </w:p>
    <w:p w:rsidR="00F64337" w:rsidRPr="00F64337" w:rsidRDefault="00F64337" w:rsidP="00F64337">
      <w:pPr>
        <w:spacing w:after="0" w:line="240" w:lineRule="auto"/>
        <w:jc w:val="both"/>
        <w:rPr>
          <w:rFonts w:eastAsia="Times New Roman" w:cs="Times New Roman"/>
          <w:color w:val="auto"/>
          <w:szCs w:val="20"/>
        </w:rPr>
      </w:pPr>
      <w:r w:rsidRPr="00F64337">
        <w:rPr>
          <w:rFonts w:eastAsia="Times New Roman" w:cs="Times New Roman"/>
          <w:color w:val="auto"/>
          <w:szCs w:val="20"/>
        </w:rPr>
        <w:t>“Section 300.302, consistent with section 614(a)(1)(E) of the Act, states that the screening of a child by a teacher or specialist to determine appropriate instructional strategies is not considered an evaluation for purposes of determining eligibility for special education and related services. This applies to a child with a disability, as well as a child who has not been identified as a child with a disability. Such screening, therefore, could occur without obtaining informed parental consent for screening.”  71 Fed. Reg. 46639 (August 14, 2006).</w:t>
      </w:r>
    </w:p>
    <w:p w:rsidR="00F64337" w:rsidRPr="00F64337" w:rsidRDefault="00F64337" w:rsidP="00F64337">
      <w:pPr>
        <w:spacing w:after="0" w:line="240" w:lineRule="auto"/>
        <w:jc w:val="both"/>
        <w:rPr>
          <w:rFonts w:eastAsia="Times New Roman" w:cs="Times New Roman"/>
          <w:color w:val="auto"/>
          <w:szCs w:val="20"/>
        </w:rPr>
      </w:pPr>
    </w:p>
    <w:p w:rsidR="00F64337" w:rsidRPr="00F64337" w:rsidRDefault="00F64337" w:rsidP="00F64337">
      <w:pPr>
        <w:spacing w:after="0" w:line="240" w:lineRule="auto"/>
        <w:jc w:val="both"/>
        <w:rPr>
          <w:rFonts w:eastAsia="Times New Roman" w:cs="Times New Roman"/>
          <w:color w:val="auto"/>
          <w:szCs w:val="20"/>
        </w:rPr>
      </w:pPr>
      <w:r w:rsidRPr="00F64337">
        <w:rPr>
          <w:rFonts w:eastAsia="Times New Roman" w:cs="Times New Roman"/>
          <w:color w:val="auto"/>
          <w:szCs w:val="20"/>
        </w:rPr>
        <w:t>“We believe the determination of who is considered a ‘specialist’ should be left to the discretion of the public agency and should not be specified in the regulations. The term, ‘instructional strategies for curriculum implementation’ is generally used to refer to strategies a teacher may use to more effectively teach children.”  71 Fed. Reg. 46639 (August 14, 2006).</w:t>
      </w:r>
    </w:p>
    <w:p w:rsidR="00F64337" w:rsidRPr="00F64337" w:rsidRDefault="00F64337" w:rsidP="00F64337">
      <w:pPr>
        <w:spacing w:after="0" w:line="240" w:lineRule="auto"/>
        <w:jc w:val="both"/>
        <w:rPr>
          <w:rFonts w:eastAsia="Times New Roman" w:cs="Times New Roman"/>
          <w:color w:val="auto"/>
          <w:szCs w:val="20"/>
        </w:rPr>
      </w:pPr>
    </w:p>
    <w:p w:rsidR="00F64337" w:rsidRPr="00F64337" w:rsidRDefault="00F64337" w:rsidP="00F64337">
      <w:pPr>
        <w:spacing w:after="0" w:line="240" w:lineRule="auto"/>
        <w:jc w:val="both"/>
        <w:rPr>
          <w:rFonts w:eastAsia="Times New Roman" w:cs="Times New Roman"/>
          <w:color w:val="auto"/>
          <w:szCs w:val="20"/>
        </w:rPr>
      </w:pPr>
      <w:r w:rsidRPr="00F64337">
        <w:rPr>
          <w:rFonts w:eastAsia="Times New Roman" w:cs="Times New Roman"/>
          <w:color w:val="auto"/>
          <w:szCs w:val="20"/>
        </w:rPr>
        <w:t xml:space="preserve">“An [functional behavioral assessment] FBA is generally understood to be an individualized evaluation of a child in accordance with 34 CFR §§300.301 through 300.311 to assist in </w:t>
      </w:r>
      <w:r w:rsidRPr="00F64337">
        <w:rPr>
          <w:rFonts w:eastAsia="Times New Roman" w:cs="Times New Roman"/>
          <w:color w:val="auto"/>
          <w:szCs w:val="20"/>
        </w:rPr>
        <w:lastRenderedPageBreak/>
        <w:t xml:space="preserve">determining whether the child is, or continues to be, a child with a disability.  The FBA process is frequently used to determine the nature and extent of the special education and related services that the child needs, including the need for a [behavior intervention plan] BIP.  As with other individualized evaluation procedures, and consistent with 34 CFR §300.300(a) and (c), parental consent is required for an FBA to be conducted as part of the initial evaluation or a reevaluation.”  </w:t>
      </w:r>
      <w:hyperlink r:id="rId11" w:history="1">
        <w:r w:rsidRPr="001C332B">
          <w:rPr>
            <w:rFonts w:eastAsia="Times New Roman" w:cs="Times New Roman"/>
            <w:i/>
            <w:color w:val="0000FF"/>
            <w:szCs w:val="20"/>
            <w:u w:val="single"/>
          </w:rPr>
          <w:t>OSERS Questions and Answers on Discipline Procedures</w:t>
        </w:r>
        <w:r w:rsidRPr="00F64337">
          <w:rPr>
            <w:rFonts w:eastAsia="Times New Roman" w:cs="Times New Roman"/>
            <w:color w:val="0000FF"/>
            <w:szCs w:val="20"/>
            <w:u w:val="single"/>
          </w:rPr>
          <w:t xml:space="preserve"> (Revised June 2009)</w:t>
        </w:r>
      </w:hyperlink>
      <w:r w:rsidRPr="00F64337">
        <w:rPr>
          <w:rFonts w:eastAsia="Times New Roman" w:cs="Times New Roman"/>
          <w:color w:val="auto"/>
          <w:szCs w:val="20"/>
        </w:rPr>
        <w:t>.</w:t>
      </w:r>
    </w:p>
    <w:p w:rsidR="00F64337" w:rsidRPr="00F64337" w:rsidRDefault="00F64337" w:rsidP="00F64337">
      <w:pPr>
        <w:spacing w:after="0" w:line="240" w:lineRule="auto"/>
        <w:jc w:val="both"/>
        <w:rPr>
          <w:rFonts w:eastAsia="Times New Roman" w:cs="Times New Roman"/>
          <w:color w:val="auto"/>
          <w:szCs w:val="20"/>
        </w:rPr>
      </w:pPr>
    </w:p>
    <w:p w:rsidR="00F64337" w:rsidRPr="00F64337" w:rsidRDefault="00F64337" w:rsidP="00F64337">
      <w:pPr>
        <w:spacing w:after="0" w:line="240" w:lineRule="auto"/>
        <w:jc w:val="both"/>
        <w:rPr>
          <w:rFonts w:eastAsia="Times New Roman" w:cs="Times New Roman"/>
          <w:color w:val="auto"/>
          <w:szCs w:val="20"/>
        </w:rPr>
      </w:pPr>
      <w:r w:rsidRPr="00F64337">
        <w:rPr>
          <w:rFonts w:eastAsia="Times New Roman" w:cs="Times New Roman"/>
          <w:color w:val="auto"/>
          <w:szCs w:val="20"/>
        </w:rPr>
        <w:t xml:space="preserve">“Typically, ongoing assessment of a child’s progress with respect to behavioral goals and the effectiveness of behavioral interventions is provided through progress monitoring, including documented observations, and through interviews with staff members involved with the child on a daily basis.  It would be atypical, we believe, for progress to be assessed through conducting a complete functional behavioral assessment.  However, as noted in the February 9, 2007 letter to Dr. Kris Christiansen, if the public agency believes it is necessary to conduct a . . . [FBA] for the purpose of determining whether the positive behavioral interventions and supports set out in the current </w:t>
      </w:r>
      <w:r w:rsidR="0004033F" w:rsidRPr="00F64337">
        <w:rPr>
          <w:rFonts w:eastAsia="Times New Roman" w:cs="Times New Roman"/>
          <w:color w:val="auto"/>
          <w:szCs w:val="20"/>
        </w:rPr>
        <w:t xml:space="preserve">[individualized education program] </w:t>
      </w:r>
      <w:r w:rsidRPr="00F64337">
        <w:rPr>
          <w:rFonts w:eastAsia="Times New Roman" w:cs="Times New Roman"/>
          <w:color w:val="auto"/>
          <w:szCs w:val="20"/>
        </w:rPr>
        <w:t xml:space="preserve">IEP for a particular child with a disability would be effective in enabling the child to make progress toward the child’s IEP goals/objectives, or to determine whether the behavioral components of the child’s IEP would need to be revised, we believe the functional behavioral assessment would be considered a reevaluation under Part B for which parental consent would be required under 34 CFR §300.300(c).”  </w:t>
      </w:r>
      <w:hyperlink r:id="rId12" w:history="1">
        <w:r w:rsidRPr="00F64337">
          <w:rPr>
            <w:rFonts w:eastAsia="Times New Roman" w:cs="Times New Roman"/>
            <w:i/>
            <w:color w:val="0000FF"/>
            <w:szCs w:val="20"/>
            <w:u w:val="single"/>
          </w:rPr>
          <w:t xml:space="preserve">OSEP Letter to </w:t>
        </w:r>
        <w:proofErr w:type="spellStart"/>
        <w:r w:rsidRPr="00F64337">
          <w:rPr>
            <w:rFonts w:eastAsia="Times New Roman" w:cs="Times New Roman"/>
            <w:i/>
            <w:color w:val="0000FF"/>
            <w:szCs w:val="20"/>
            <w:u w:val="single"/>
          </w:rPr>
          <w:t>Sarzynski</w:t>
        </w:r>
        <w:proofErr w:type="spellEnd"/>
        <w:r w:rsidRPr="00F64337">
          <w:rPr>
            <w:rFonts w:eastAsia="Times New Roman" w:cs="Times New Roman"/>
            <w:color w:val="0000FF"/>
            <w:szCs w:val="20"/>
            <w:u w:val="single"/>
          </w:rPr>
          <w:t xml:space="preserve"> (May 6, 2008)</w:t>
        </w:r>
      </w:hyperlink>
      <w:r w:rsidRPr="00F64337">
        <w:rPr>
          <w:rFonts w:eastAsia="Times New Roman" w:cs="Times New Roman"/>
          <w:color w:val="auto"/>
          <w:szCs w:val="20"/>
        </w:rPr>
        <w:t>.</w:t>
      </w:r>
    </w:p>
    <w:p w:rsidR="00F64337" w:rsidRPr="00F64337" w:rsidRDefault="00F64337" w:rsidP="00F64337">
      <w:pPr>
        <w:spacing w:after="0" w:line="240" w:lineRule="auto"/>
        <w:jc w:val="both"/>
        <w:rPr>
          <w:rFonts w:eastAsia="Times New Roman" w:cs="Times New Roman"/>
          <w:color w:val="auto"/>
          <w:szCs w:val="20"/>
        </w:rPr>
      </w:pPr>
    </w:p>
    <w:p w:rsidR="00F64337" w:rsidRPr="00F64337" w:rsidRDefault="00F64337" w:rsidP="00F64337">
      <w:pPr>
        <w:spacing w:after="0" w:line="240" w:lineRule="auto"/>
        <w:jc w:val="both"/>
        <w:rPr>
          <w:rFonts w:eastAsia="Times New Roman" w:cs="Times New Roman"/>
          <w:color w:val="auto"/>
          <w:szCs w:val="20"/>
        </w:rPr>
      </w:pPr>
      <w:r w:rsidRPr="00F64337">
        <w:rPr>
          <w:rFonts w:eastAsia="Times New Roman" w:cs="Times New Roman"/>
          <w:color w:val="auto"/>
          <w:szCs w:val="20"/>
        </w:rPr>
        <w:t>“Under 34 CFR §300.324(a)(2)(</w:t>
      </w:r>
      <w:proofErr w:type="spellStart"/>
      <w:r w:rsidRPr="00F64337">
        <w:rPr>
          <w:rFonts w:eastAsia="Times New Roman" w:cs="Times New Roman"/>
          <w:color w:val="auto"/>
          <w:szCs w:val="20"/>
        </w:rPr>
        <w:t>i</w:t>
      </w:r>
      <w:proofErr w:type="spellEnd"/>
      <w:r w:rsidRPr="00F64337">
        <w:rPr>
          <w:rFonts w:eastAsia="Times New Roman" w:cs="Times New Roman"/>
          <w:color w:val="auto"/>
          <w:szCs w:val="20"/>
        </w:rPr>
        <w:t xml:space="preserve">), if a child's behavior impedes his or her learning or that of others, the IEP Team must ‘consider the use of positive behavioral interventions and supports, and other strategies to address that behavior.’ If an FBA is being conducted for the purpose of determining whether the positive behavioral interventions and supports set out in the current IEP for a particular child with a disability would be effective in enabling the child to make progress toward the child's IEP goals/objectives, or to determine whether the behavioral component of the child's IEP would need to be revised, we believe that the FBA would be considered a reevaluation under Part B for which parental consent would be required under 34 CFR §300.300(c).”  </w:t>
      </w:r>
      <w:hyperlink r:id="rId13" w:history="1">
        <w:r w:rsidRPr="00F64337">
          <w:rPr>
            <w:rFonts w:eastAsia="Times New Roman" w:cs="Times New Roman"/>
            <w:i/>
            <w:color w:val="0000FF"/>
            <w:szCs w:val="20"/>
            <w:u w:val="single"/>
          </w:rPr>
          <w:t>OSEP Letter to Christiansen</w:t>
        </w:r>
        <w:r w:rsidRPr="00F64337">
          <w:rPr>
            <w:rFonts w:eastAsia="Times New Roman" w:cs="Times New Roman"/>
            <w:color w:val="0000FF"/>
            <w:szCs w:val="20"/>
            <w:u w:val="single"/>
          </w:rPr>
          <w:t xml:space="preserve"> (February 9, 2007)</w:t>
        </w:r>
      </w:hyperlink>
      <w:r w:rsidRPr="00F64337">
        <w:rPr>
          <w:rFonts w:eastAsia="Times New Roman" w:cs="Times New Roman"/>
          <w:color w:val="auto"/>
          <w:szCs w:val="20"/>
        </w:rPr>
        <w:t xml:space="preserve">; see also </w:t>
      </w:r>
      <w:hyperlink r:id="rId14" w:history="1">
        <w:r w:rsidRPr="00F64337">
          <w:rPr>
            <w:rFonts w:eastAsia="Times New Roman" w:cs="Times New Roman"/>
            <w:i/>
            <w:color w:val="0000FF"/>
            <w:szCs w:val="20"/>
            <w:u w:val="single"/>
          </w:rPr>
          <w:t>OSEP Letter to McWilliams</w:t>
        </w:r>
        <w:r w:rsidRPr="00F64337">
          <w:rPr>
            <w:rFonts w:eastAsia="Times New Roman" w:cs="Times New Roman"/>
            <w:color w:val="0000FF"/>
            <w:szCs w:val="20"/>
            <w:u w:val="single"/>
          </w:rPr>
          <w:t xml:space="preserve"> (July 16, 2015)</w:t>
        </w:r>
      </w:hyperlink>
      <w:r w:rsidRPr="004B3D2E">
        <w:rPr>
          <w:rFonts w:eastAsia="Times New Roman" w:cs="Times New Roman"/>
          <w:color w:val="auto"/>
          <w:szCs w:val="20"/>
        </w:rPr>
        <w:t>.</w:t>
      </w:r>
    </w:p>
    <w:p w:rsidR="00F64337" w:rsidRPr="00F64337" w:rsidRDefault="00F64337" w:rsidP="00F64337">
      <w:pPr>
        <w:spacing w:after="0" w:line="240" w:lineRule="auto"/>
        <w:jc w:val="both"/>
        <w:rPr>
          <w:rFonts w:eastAsia="Times New Roman" w:cs="Times New Roman"/>
          <w:color w:val="auto"/>
          <w:szCs w:val="20"/>
        </w:rPr>
      </w:pPr>
    </w:p>
    <w:p w:rsidR="00F64337" w:rsidRPr="00F64337" w:rsidRDefault="00F64337" w:rsidP="00F64337">
      <w:pPr>
        <w:spacing w:after="0" w:line="240" w:lineRule="auto"/>
        <w:jc w:val="both"/>
        <w:rPr>
          <w:rFonts w:eastAsia="Times New Roman" w:cs="Times New Roman"/>
          <w:color w:val="auto"/>
          <w:szCs w:val="20"/>
        </w:rPr>
      </w:pPr>
      <w:r w:rsidRPr="00F64337">
        <w:rPr>
          <w:rFonts w:eastAsia="Times New Roman" w:cs="Times New Roman"/>
          <w:color w:val="auto"/>
          <w:szCs w:val="20"/>
        </w:rPr>
        <w:t xml:space="preserve">“Under 34 CFR § 300.300(c)(2), the public agency need not obtain informed parental consent for the reevaluation if the public agency can demonstrate that it made reasonable efforts to obtain consent for the reevaluation, and the child's parent has failed to respond to the request for consent. This means that a public agency may conduct a reevaluation of a child with a disability without using the consent override procedures if the public agency can demonstrate that it made reasonable efforts to obtain parental consent for the reevaluation, and the child's parent has failed to respond to the request for consent. Section 300.300(d)(5) of the regulations provides that in order to meet the reasonable efforts requirement, the public agency must document its attempts to obtain parental consent using the procedures in 34 CFR § 300.322(d). These procedures include detailed records of telephone calls made or attempted and the results of those calls, copies of correspondence sent to the parents and any responses received, and detailed records of visits made to the parent's home or place of employment and the results of those visits.”  </w:t>
      </w:r>
      <w:hyperlink r:id="rId15" w:tgtFrame="_blank" w:history="1">
        <w:r w:rsidRPr="001C332B">
          <w:rPr>
            <w:rFonts w:eastAsia="Times New Roman" w:cs="Times New Roman"/>
            <w:i/>
            <w:color w:val="0000FF"/>
            <w:szCs w:val="20"/>
            <w:u w:val="single"/>
          </w:rPr>
          <w:t>OSERS Questions and Answers on</w:t>
        </w:r>
        <w:r w:rsidR="00E01C52">
          <w:rPr>
            <w:rFonts w:eastAsia="Times New Roman" w:cs="Times New Roman"/>
            <w:i/>
            <w:color w:val="0000FF"/>
            <w:szCs w:val="20"/>
            <w:u w:val="single"/>
          </w:rPr>
          <w:t xml:space="preserve"> Individualized Education Programs (</w:t>
        </w:r>
        <w:r w:rsidRPr="001C332B">
          <w:rPr>
            <w:rFonts w:eastAsia="Times New Roman" w:cs="Times New Roman"/>
            <w:i/>
            <w:color w:val="0000FF"/>
            <w:szCs w:val="20"/>
            <w:u w:val="single"/>
          </w:rPr>
          <w:t>IEPs</w:t>
        </w:r>
        <w:r w:rsidR="00E01C52">
          <w:rPr>
            <w:rFonts w:eastAsia="Times New Roman" w:cs="Times New Roman"/>
            <w:i/>
            <w:color w:val="0000FF"/>
            <w:szCs w:val="20"/>
            <w:u w:val="single"/>
          </w:rPr>
          <w:t>)</w:t>
        </w:r>
        <w:r w:rsidRPr="001C332B">
          <w:rPr>
            <w:rFonts w:eastAsia="Times New Roman" w:cs="Times New Roman"/>
            <w:i/>
            <w:color w:val="0000FF"/>
            <w:szCs w:val="20"/>
            <w:u w:val="single"/>
          </w:rPr>
          <w:t>, Evaluations, and Reevaluations</w:t>
        </w:r>
        <w:r w:rsidRPr="00F64337">
          <w:rPr>
            <w:rFonts w:eastAsia="Times New Roman" w:cs="Times New Roman"/>
            <w:color w:val="0000FF"/>
            <w:szCs w:val="20"/>
            <w:u w:val="single"/>
          </w:rPr>
          <w:t xml:space="preserve"> (September 2011)</w:t>
        </w:r>
      </w:hyperlink>
      <w:r w:rsidRPr="004B3D2E">
        <w:rPr>
          <w:rFonts w:eastAsia="Times New Roman" w:cs="Times New Roman"/>
          <w:color w:val="auto"/>
          <w:szCs w:val="20"/>
        </w:rPr>
        <w:t>.</w:t>
      </w:r>
    </w:p>
    <w:p w:rsidR="00F64337" w:rsidRPr="00F64337" w:rsidRDefault="00F64337" w:rsidP="00F64337">
      <w:pPr>
        <w:spacing w:after="0" w:line="240" w:lineRule="auto"/>
        <w:jc w:val="both"/>
        <w:rPr>
          <w:rFonts w:eastAsia="Times New Roman" w:cs="Times New Roman"/>
          <w:color w:val="auto"/>
          <w:szCs w:val="20"/>
        </w:rPr>
      </w:pPr>
    </w:p>
    <w:p w:rsidR="00F64337" w:rsidRPr="00F64337" w:rsidRDefault="00F64337" w:rsidP="00F64337">
      <w:pPr>
        <w:spacing w:after="0" w:line="240" w:lineRule="auto"/>
        <w:jc w:val="both"/>
        <w:rPr>
          <w:rFonts w:eastAsia="Times New Roman" w:cs="Times New Roman"/>
          <w:color w:val="auto"/>
          <w:szCs w:val="20"/>
        </w:rPr>
      </w:pPr>
      <w:r w:rsidRPr="00F64337">
        <w:rPr>
          <w:rFonts w:eastAsia="Times New Roman" w:cs="Times New Roman"/>
          <w:color w:val="auto"/>
          <w:szCs w:val="20"/>
        </w:rPr>
        <w:t xml:space="preserve">“Section 300.300(a)(3) allows a public agency to override parental refusal to consent to an initial evaluation by utilizing the mediation procedures under § 300.506 or the due process </w:t>
      </w:r>
      <w:r w:rsidRPr="00F64337">
        <w:rPr>
          <w:rFonts w:eastAsia="Times New Roman" w:cs="Times New Roman"/>
          <w:color w:val="auto"/>
          <w:szCs w:val="20"/>
        </w:rPr>
        <w:lastRenderedPageBreak/>
        <w:t>procedures under §§ 300.507 through 300.516</w:t>
      </w:r>
      <w:r w:rsidR="00121A72">
        <w:rPr>
          <w:rFonts w:eastAsia="Times New Roman" w:cs="Times New Roman"/>
          <w:color w:val="auto"/>
          <w:szCs w:val="20"/>
        </w:rPr>
        <w:t xml:space="preserve">. . . . </w:t>
      </w:r>
      <w:r w:rsidRPr="00121A72">
        <w:rPr>
          <w:rFonts w:eastAsia="Times New Roman" w:cs="Times New Roman"/>
          <w:color w:val="auto"/>
          <w:szCs w:val="20"/>
        </w:rPr>
        <w:t>Ho</w:t>
      </w:r>
      <w:r w:rsidRPr="00F64337">
        <w:rPr>
          <w:rFonts w:eastAsia="Times New Roman" w:cs="Times New Roman"/>
          <w:color w:val="auto"/>
          <w:szCs w:val="20"/>
        </w:rPr>
        <w:t>wever, we believe it is important to state this more directly and will, therefore, add language to § 300.300(c)(1) to clarify that if a parent refuses to consent to a reevaluation, the public agency may, but is not required to, pursue the reevaluation by using the procedural safeguards in subpart E of this part.”  71 Fed. Reg. 46634 (August 14, 2006).</w:t>
      </w:r>
    </w:p>
    <w:p w:rsidR="00F64337" w:rsidRPr="00F64337" w:rsidRDefault="00F64337" w:rsidP="00F64337">
      <w:pPr>
        <w:spacing w:after="0" w:line="240" w:lineRule="auto"/>
        <w:jc w:val="both"/>
        <w:rPr>
          <w:rFonts w:eastAsia="Times New Roman" w:cs="Times New Roman"/>
          <w:color w:val="auto"/>
          <w:szCs w:val="20"/>
        </w:rPr>
      </w:pPr>
    </w:p>
    <w:p w:rsidR="00F64337" w:rsidRPr="00F64337" w:rsidRDefault="00F64337" w:rsidP="00F64337">
      <w:pPr>
        <w:spacing w:after="0" w:line="240" w:lineRule="auto"/>
        <w:jc w:val="both"/>
        <w:rPr>
          <w:rFonts w:eastAsia="Times New Roman" w:cs="Times New Roman"/>
          <w:color w:val="auto"/>
          <w:szCs w:val="20"/>
        </w:rPr>
      </w:pPr>
      <w:r w:rsidRPr="00F64337">
        <w:rPr>
          <w:rFonts w:eastAsia="Times New Roman" w:cs="Times New Roman"/>
          <w:color w:val="auto"/>
          <w:szCs w:val="20"/>
        </w:rPr>
        <w:t>Through the implementation of the</w:t>
      </w:r>
      <w:r w:rsidR="00354E91">
        <w:rPr>
          <w:rFonts w:eastAsia="Times New Roman" w:cs="Times New Roman"/>
          <w:color w:val="auto"/>
          <w:szCs w:val="20"/>
        </w:rPr>
        <w:t xml:space="preserve"> </w:t>
      </w:r>
      <w:r w:rsidR="00496166">
        <w:rPr>
          <w:rFonts w:eastAsia="Times New Roman" w:cs="Times New Roman"/>
          <w:color w:val="auto"/>
          <w:szCs w:val="20"/>
        </w:rPr>
        <w:t xml:space="preserve">member </w:t>
      </w:r>
      <w:r w:rsidR="00354E91">
        <w:rPr>
          <w:rFonts w:eastAsia="Times New Roman" w:cs="Times New Roman"/>
          <w:color w:val="auto"/>
          <w:szCs w:val="20"/>
        </w:rPr>
        <w:t>district</w:t>
      </w:r>
      <w:r w:rsidRPr="00F64337">
        <w:rPr>
          <w:rFonts w:eastAsia="Times New Roman" w:cs="Times New Roman"/>
          <w:color w:val="auto"/>
          <w:szCs w:val="20"/>
        </w:rPr>
        <w:t xml:space="preserve"> policies and procedures as outlined in the </w:t>
      </w:r>
      <w:hyperlink r:id="rId16" w:history="1">
        <w:r w:rsidRPr="00C6562F">
          <w:rPr>
            <w:rStyle w:val="Hyperlink"/>
            <w:rFonts w:eastAsia="Times New Roman" w:cs="Times New Roman"/>
            <w:szCs w:val="20"/>
          </w:rPr>
          <w:t>Legal Framework</w:t>
        </w:r>
      </w:hyperlink>
      <w:r w:rsidRPr="00F64337">
        <w:rPr>
          <w:rFonts w:eastAsia="Times New Roman" w:cs="Times New Roman"/>
          <w:color w:val="auto"/>
          <w:szCs w:val="20"/>
        </w:rPr>
        <w:t xml:space="preserve"> for the Child-Centered Special Education Process, th</w:t>
      </w:r>
      <w:r w:rsidR="00354E91">
        <w:rPr>
          <w:rFonts w:eastAsia="Times New Roman" w:cs="Times New Roman"/>
          <w:color w:val="auto"/>
          <w:szCs w:val="20"/>
        </w:rPr>
        <w:t xml:space="preserve">e </w:t>
      </w:r>
      <w:r w:rsidR="00496166">
        <w:rPr>
          <w:rFonts w:eastAsia="Times New Roman" w:cs="Times New Roman"/>
          <w:color w:val="auto"/>
          <w:szCs w:val="20"/>
        </w:rPr>
        <w:t xml:space="preserve">member </w:t>
      </w:r>
      <w:r w:rsidR="00354E91">
        <w:rPr>
          <w:rFonts w:eastAsia="Times New Roman" w:cs="Times New Roman"/>
          <w:color w:val="auto"/>
          <w:szCs w:val="20"/>
        </w:rPr>
        <w:t xml:space="preserve">district </w:t>
      </w:r>
      <w:r w:rsidRPr="00F64337">
        <w:rPr>
          <w:rFonts w:eastAsia="Times New Roman" w:cs="Times New Roman"/>
          <w:color w:val="auto"/>
          <w:szCs w:val="20"/>
        </w:rPr>
        <w:t xml:space="preserve">ensures that prior to conducting a reevaluation, reasonable efforts will be made to obtain informed written consent for the reevaluation in conformance with the </w:t>
      </w:r>
      <w:r w:rsidR="004B3D2E">
        <w:rPr>
          <w:rFonts w:eastAsia="Times New Roman" w:cs="Times New Roman"/>
          <w:color w:val="auto"/>
          <w:szCs w:val="20"/>
        </w:rPr>
        <w:t xml:space="preserve">Individuals with Disabilities Education Act </w:t>
      </w:r>
      <w:r w:rsidR="00C6479F">
        <w:rPr>
          <w:rFonts w:eastAsia="Times New Roman" w:cs="Times New Roman"/>
          <w:color w:val="auto"/>
          <w:szCs w:val="20"/>
        </w:rPr>
        <w:t>(</w:t>
      </w:r>
      <w:r w:rsidRPr="00F64337">
        <w:rPr>
          <w:rFonts w:eastAsia="Times New Roman" w:cs="Times New Roman"/>
          <w:color w:val="auto"/>
          <w:szCs w:val="20"/>
        </w:rPr>
        <w:t>IDEA</w:t>
      </w:r>
      <w:r w:rsidR="00C6479F">
        <w:rPr>
          <w:rFonts w:eastAsia="Times New Roman" w:cs="Times New Roman"/>
          <w:color w:val="auto"/>
          <w:szCs w:val="20"/>
        </w:rPr>
        <w:t>)</w:t>
      </w:r>
      <w:r w:rsidRPr="00F64337">
        <w:rPr>
          <w:rFonts w:eastAsia="Times New Roman" w:cs="Times New Roman"/>
          <w:color w:val="auto"/>
          <w:szCs w:val="20"/>
        </w:rPr>
        <w:t xml:space="preserve"> and its accompanying federal regulations, state statutes and regulations.  Moreover, th</w:t>
      </w:r>
      <w:r w:rsidR="00354E91">
        <w:rPr>
          <w:rFonts w:eastAsia="Times New Roman" w:cs="Times New Roman"/>
          <w:color w:val="auto"/>
          <w:szCs w:val="20"/>
        </w:rPr>
        <w:t xml:space="preserve">e </w:t>
      </w:r>
      <w:r w:rsidR="00496166">
        <w:rPr>
          <w:rFonts w:eastAsia="Times New Roman" w:cs="Times New Roman"/>
          <w:color w:val="auto"/>
          <w:szCs w:val="20"/>
        </w:rPr>
        <w:t xml:space="preserve">member </w:t>
      </w:r>
      <w:r w:rsidR="00354E91">
        <w:rPr>
          <w:rFonts w:eastAsia="Times New Roman" w:cs="Times New Roman"/>
          <w:color w:val="auto"/>
          <w:szCs w:val="20"/>
        </w:rPr>
        <w:t xml:space="preserve">district </w:t>
      </w:r>
      <w:r w:rsidRPr="00F64337">
        <w:rPr>
          <w:rFonts w:eastAsia="Times New Roman" w:cs="Times New Roman"/>
          <w:color w:val="auto"/>
          <w:szCs w:val="20"/>
        </w:rPr>
        <w:t>will conduct a reevaluation only after it has obtained consent for the reevaluation, except when, despite reasonable efforts, the parent has failed to respond.</w:t>
      </w:r>
    </w:p>
    <w:p w:rsidR="00E21132" w:rsidRPr="002045E8" w:rsidRDefault="00E21132" w:rsidP="006E3F0A">
      <w:pPr>
        <w:spacing w:after="0" w:line="240" w:lineRule="auto"/>
        <w:jc w:val="both"/>
        <w:rPr>
          <w:rFonts w:eastAsia="Times New Roman" w:cs="Times New Roman"/>
          <w:color w:val="auto"/>
          <w:szCs w:val="20"/>
        </w:rPr>
      </w:pPr>
    </w:p>
    <w:p w:rsidR="00DB231F" w:rsidRDefault="00FB2631" w:rsidP="009415A3">
      <w:pPr>
        <w:spacing w:after="0" w:line="240" w:lineRule="auto"/>
        <w:rPr>
          <w:szCs w:val="20"/>
        </w:rPr>
      </w:pPr>
      <w:r>
        <w:rPr>
          <w:szCs w:val="20"/>
        </w:rPr>
        <w:pict>
          <v:rect id="_x0000_i1025" style="width:468pt;height:3pt" o:hralign="center" o:hrstd="t" o:hrnoshade="t" o:hr="t" fillcolor="#0f3966 [3204]" stroked="f"/>
        </w:pict>
      </w:r>
    </w:p>
    <w:p w:rsidR="007361FC" w:rsidRPr="00CE51BE" w:rsidRDefault="007361FC" w:rsidP="00922F5A">
      <w:pPr>
        <w:pStyle w:val="NormalWeb"/>
        <w:shd w:val="clear" w:color="auto" w:fill="FFFFFF"/>
        <w:spacing w:before="0" w:beforeAutospacing="0" w:after="0" w:afterAutospacing="0"/>
        <w:rPr>
          <w:rFonts w:ascii="Verdana" w:hAnsi="Verdana"/>
          <w:iCs/>
          <w:sz w:val="20"/>
          <w:szCs w:val="20"/>
        </w:rPr>
      </w:pPr>
      <w:r w:rsidRPr="00CE51BE">
        <w:rPr>
          <w:rFonts w:ascii="Verdana" w:hAnsi="Verdana"/>
          <w:iCs/>
          <w:sz w:val="20"/>
          <w:szCs w:val="20"/>
        </w:rPr>
        <w:t>Parental consent is </w:t>
      </w:r>
      <w:r w:rsidRPr="00CE51BE">
        <w:rPr>
          <w:rFonts w:ascii="Verdana" w:hAnsi="Verdana"/>
          <w:iCs/>
          <w:sz w:val="20"/>
          <w:szCs w:val="20"/>
          <w:u w:val="single"/>
        </w:rPr>
        <w:t>not</w:t>
      </w:r>
      <w:r w:rsidRPr="00CE51BE">
        <w:rPr>
          <w:rFonts w:ascii="Verdana" w:hAnsi="Verdana"/>
          <w:iCs/>
          <w:sz w:val="20"/>
          <w:szCs w:val="20"/>
        </w:rPr>
        <w:t> required if the evaluation team determines that additional data are not needed for an evaluation or reevaluation. In all instances, the parents have the opportunity to be part of the team which makes that determination. Therefore, no parental consent is necessary if no additional data are needed to conduct the evaluation or reevaluation. If the team determines the review of existing evaluation</w:t>
      </w:r>
      <w:r w:rsidR="00D86C37" w:rsidRPr="00CE51BE">
        <w:rPr>
          <w:rFonts w:ascii="Verdana" w:hAnsi="Verdana"/>
          <w:iCs/>
          <w:sz w:val="20"/>
          <w:szCs w:val="20"/>
        </w:rPr>
        <w:t xml:space="preserve"> (REED)</w:t>
      </w:r>
      <w:r w:rsidRPr="00CE51BE">
        <w:rPr>
          <w:rFonts w:ascii="Verdana" w:hAnsi="Verdana"/>
          <w:iCs/>
          <w:sz w:val="20"/>
          <w:szCs w:val="20"/>
        </w:rPr>
        <w:t xml:space="preserve"> data are sufficient to determine whether the child is a child with a disability and that no additional data are needed to determine whether the child qualifies as a child with a disability, parental consent for an evaluation is not required.</w:t>
      </w:r>
    </w:p>
    <w:p w:rsidR="00D86C37" w:rsidRPr="00CE51BE" w:rsidRDefault="00D86C37" w:rsidP="00D86C37">
      <w:pPr>
        <w:pStyle w:val="NormalWeb"/>
        <w:shd w:val="clear" w:color="auto" w:fill="FFFFFF"/>
        <w:spacing w:before="0" w:beforeAutospacing="0" w:after="0" w:afterAutospacing="0"/>
        <w:rPr>
          <w:rFonts w:ascii="Verdana" w:hAnsi="Verdana"/>
          <w:sz w:val="20"/>
          <w:szCs w:val="20"/>
        </w:rPr>
      </w:pPr>
      <w:r w:rsidRPr="00CE51BE">
        <w:rPr>
          <w:rFonts w:ascii="Verdana" w:hAnsi="Verdana"/>
          <w:sz w:val="20"/>
          <w:szCs w:val="20"/>
        </w:rPr>
        <w:t xml:space="preserve">If the parent/guardian did not participate in the REED meeting, multiple attempts will be made and documented to obtain written consent from parents, including; phone calls, conferences, mailed letters, and emails. If appropriate, a home visit may be conducted to obtain parent/guardian written consent. </w:t>
      </w:r>
      <w:r w:rsidRPr="00CE51BE">
        <w:rPr>
          <w:rFonts w:ascii="Verdana" w:hAnsi="Verdana" w:cs="Calibri"/>
          <w:sz w:val="20"/>
          <w:szCs w:val="20"/>
          <w:shd w:val="clear" w:color="auto" w:fill="FFFFFF"/>
        </w:rPr>
        <w:t>IDEA supports pursuing the reevaluation without parent consent if the parent is being non-responsive.</w:t>
      </w:r>
    </w:p>
    <w:p w:rsidR="00D86C37" w:rsidRPr="00CE51BE" w:rsidRDefault="00D86C37" w:rsidP="00D86C37">
      <w:pPr>
        <w:pStyle w:val="NormalWeb"/>
        <w:shd w:val="clear" w:color="auto" w:fill="FFFFFF"/>
        <w:spacing w:before="0" w:beforeAutospacing="0" w:after="0" w:afterAutospacing="0"/>
        <w:rPr>
          <w:rFonts w:ascii="Verdana" w:hAnsi="Verdana"/>
          <w:iCs/>
          <w:sz w:val="20"/>
          <w:szCs w:val="20"/>
        </w:rPr>
      </w:pPr>
      <w:r w:rsidRPr="00CE51BE">
        <w:rPr>
          <w:rFonts w:ascii="Verdana" w:hAnsi="Verdana"/>
          <w:sz w:val="20"/>
          <w:szCs w:val="20"/>
        </w:rPr>
        <w:t xml:space="preserve">In circumstances when the parent refuses to give consent for reevaluation, RCSS will provide the parent with Prior Written Notice, give a copy of the Procedural Safeguards, and parent may note their refusal </w:t>
      </w:r>
      <w:r w:rsidR="00CE51BE" w:rsidRPr="00CE51BE">
        <w:rPr>
          <w:rFonts w:ascii="Verdana" w:hAnsi="Verdana"/>
          <w:sz w:val="20"/>
          <w:szCs w:val="20"/>
        </w:rPr>
        <w:t xml:space="preserve">on the Consent for Evaluation form. </w:t>
      </w:r>
    </w:p>
    <w:p w:rsidR="006270B0" w:rsidRDefault="007361FC" w:rsidP="00922F5A">
      <w:pPr>
        <w:pStyle w:val="NormalWeb"/>
        <w:shd w:val="clear" w:color="auto" w:fill="FFFFFF"/>
        <w:spacing w:before="0" w:beforeAutospacing="0" w:after="0" w:afterAutospacing="0"/>
        <w:rPr>
          <w:rFonts w:ascii="Verdana" w:hAnsi="Verdana"/>
          <w:iCs/>
          <w:sz w:val="20"/>
          <w:szCs w:val="20"/>
        </w:rPr>
      </w:pPr>
      <w:r w:rsidRPr="00CE51BE">
        <w:rPr>
          <w:rFonts w:ascii="Verdana" w:hAnsi="Verdana"/>
          <w:iCs/>
          <w:sz w:val="20"/>
          <w:szCs w:val="20"/>
        </w:rPr>
        <w:t xml:space="preserve">Evaluations occur as a regular part of student progress monitoring to assess whether the child has mastered the information. If the evaluation is crucial to determining a child’s continued eligibility or to determine whether “services should be increased or decreased” that is considered a reevaluation requiring written parental consent. </w:t>
      </w:r>
    </w:p>
    <w:p w:rsidR="00BD3EF7" w:rsidRPr="00CE51BE" w:rsidRDefault="00BD3EF7" w:rsidP="00922F5A">
      <w:pPr>
        <w:pStyle w:val="NormalWeb"/>
        <w:shd w:val="clear" w:color="auto" w:fill="FFFFFF"/>
        <w:spacing w:before="0" w:beforeAutospacing="0" w:after="0" w:afterAutospacing="0"/>
        <w:rPr>
          <w:rFonts w:ascii="Verdana" w:hAnsi="Verdana"/>
          <w:iCs/>
          <w:sz w:val="20"/>
          <w:szCs w:val="20"/>
        </w:rPr>
      </w:pPr>
      <w:r w:rsidRPr="00CE51BE">
        <w:rPr>
          <w:rFonts w:ascii="Verdana" w:hAnsi="Verdana"/>
          <w:iCs/>
          <w:sz w:val="20"/>
          <w:szCs w:val="20"/>
          <w:shd w:val="clear" w:color="auto" w:fill="FFFFFF"/>
        </w:rPr>
        <w:t>Parental consent is not required for observations conducted as part of routine classroom instruction and monitoring of the child’s performance as long as that observation is not conducted as part of the full and individual evaluation of the child</w:t>
      </w:r>
      <w:r w:rsidRPr="00CE51BE">
        <w:rPr>
          <w:rFonts w:ascii="Verdana" w:hAnsi="Verdana"/>
          <w:i/>
          <w:iCs/>
          <w:color w:val="0000FF"/>
          <w:sz w:val="20"/>
          <w:szCs w:val="20"/>
          <w:shd w:val="clear" w:color="auto" w:fill="FFFFFF"/>
        </w:rPr>
        <w:t>.</w:t>
      </w:r>
    </w:p>
    <w:p w:rsidR="007361FC" w:rsidRPr="00CE51BE" w:rsidRDefault="007361FC" w:rsidP="00922F5A">
      <w:pPr>
        <w:pStyle w:val="NormalWeb"/>
        <w:shd w:val="clear" w:color="auto" w:fill="FFFFFF"/>
        <w:spacing w:before="0" w:beforeAutospacing="0" w:after="0" w:afterAutospacing="0"/>
        <w:rPr>
          <w:rFonts w:ascii="Verdana" w:hAnsi="Verdana"/>
          <w:iCs/>
          <w:sz w:val="20"/>
          <w:szCs w:val="20"/>
        </w:rPr>
      </w:pPr>
      <w:r w:rsidRPr="00CE51BE">
        <w:rPr>
          <w:rFonts w:ascii="Verdana" w:hAnsi="Verdana"/>
          <w:iCs/>
          <w:sz w:val="20"/>
          <w:szCs w:val="20"/>
        </w:rPr>
        <w:t>FBA - Functional Behavior Evaluation needs parental consent when completed to:</w:t>
      </w:r>
    </w:p>
    <w:p w:rsidR="007361FC" w:rsidRPr="00CE51BE" w:rsidRDefault="007361FC" w:rsidP="00922F5A">
      <w:pPr>
        <w:pStyle w:val="NormalWeb"/>
        <w:numPr>
          <w:ilvl w:val="0"/>
          <w:numId w:val="24"/>
        </w:numPr>
        <w:shd w:val="clear" w:color="auto" w:fill="FFFFFF"/>
        <w:spacing w:before="0" w:beforeAutospacing="0" w:after="0" w:afterAutospacing="0"/>
        <w:rPr>
          <w:rFonts w:ascii="Verdana" w:hAnsi="Verdana"/>
          <w:iCs/>
          <w:sz w:val="20"/>
          <w:szCs w:val="20"/>
        </w:rPr>
      </w:pPr>
      <w:r w:rsidRPr="00CE51BE">
        <w:rPr>
          <w:rFonts w:ascii="Verdana" w:hAnsi="Verdana"/>
          <w:iCs/>
          <w:sz w:val="20"/>
          <w:szCs w:val="20"/>
        </w:rPr>
        <w:t>develop or modify a Behavior Intervention Plan</w:t>
      </w:r>
    </w:p>
    <w:p w:rsidR="007361FC" w:rsidRPr="00CE51BE" w:rsidRDefault="007361FC" w:rsidP="00922F5A">
      <w:pPr>
        <w:pStyle w:val="NormalWeb"/>
        <w:numPr>
          <w:ilvl w:val="0"/>
          <w:numId w:val="24"/>
        </w:numPr>
        <w:shd w:val="clear" w:color="auto" w:fill="FFFFFF"/>
        <w:spacing w:before="0" w:beforeAutospacing="0" w:after="0" w:afterAutospacing="0"/>
        <w:rPr>
          <w:rFonts w:ascii="Verdana" w:hAnsi="Verdana"/>
          <w:iCs/>
          <w:sz w:val="20"/>
          <w:szCs w:val="20"/>
        </w:rPr>
      </w:pPr>
      <w:r w:rsidRPr="00CE51BE">
        <w:rPr>
          <w:rFonts w:ascii="Verdana" w:hAnsi="Verdana"/>
          <w:iCs/>
          <w:sz w:val="20"/>
          <w:szCs w:val="20"/>
        </w:rPr>
        <w:t>determine whether the child is a child with a disability and the extent of special education and related services needed,</w:t>
      </w:r>
    </w:p>
    <w:p w:rsidR="007361FC" w:rsidRPr="00CE51BE" w:rsidRDefault="007361FC" w:rsidP="00922F5A">
      <w:pPr>
        <w:pStyle w:val="NormalWeb"/>
        <w:numPr>
          <w:ilvl w:val="0"/>
          <w:numId w:val="24"/>
        </w:numPr>
        <w:shd w:val="clear" w:color="auto" w:fill="FFFFFF"/>
        <w:spacing w:before="0" w:beforeAutospacing="0" w:after="0" w:afterAutospacing="0"/>
        <w:rPr>
          <w:rFonts w:ascii="Verdana" w:hAnsi="Verdana"/>
          <w:iCs/>
          <w:sz w:val="20"/>
          <w:szCs w:val="20"/>
        </w:rPr>
      </w:pPr>
      <w:r w:rsidRPr="00CE51BE">
        <w:rPr>
          <w:rFonts w:ascii="Verdana" w:hAnsi="Verdana"/>
          <w:iCs/>
          <w:sz w:val="20"/>
          <w:szCs w:val="20"/>
        </w:rPr>
        <w:t>determine whether the positive behavioral interventions and supports set out in the current IEP for a child with a disability would be effective in enabling the child to make progress toward the IEP goals/objectives, or</w:t>
      </w:r>
    </w:p>
    <w:p w:rsidR="00E26791" w:rsidRDefault="007361FC" w:rsidP="00E26791">
      <w:pPr>
        <w:pStyle w:val="NormalWeb"/>
        <w:numPr>
          <w:ilvl w:val="0"/>
          <w:numId w:val="24"/>
        </w:numPr>
        <w:shd w:val="clear" w:color="auto" w:fill="FFFFFF"/>
        <w:spacing w:before="0" w:beforeAutospacing="0" w:after="0" w:afterAutospacing="0"/>
        <w:rPr>
          <w:rFonts w:ascii="Verdana" w:hAnsi="Verdana"/>
          <w:iCs/>
          <w:sz w:val="20"/>
          <w:szCs w:val="20"/>
        </w:rPr>
      </w:pPr>
      <w:r w:rsidRPr="00CE51BE">
        <w:rPr>
          <w:rFonts w:ascii="Verdana" w:hAnsi="Verdana"/>
          <w:iCs/>
          <w:sz w:val="20"/>
          <w:szCs w:val="20"/>
        </w:rPr>
        <w:t>determine whether the behavioral components of the IEP would need to be revised.</w:t>
      </w:r>
    </w:p>
    <w:p w:rsidR="00E26791" w:rsidRDefault="00E26791" w:rsidP="00E26791">
      <w:pPr>
        <w:pStyle w:val="NormalWeb"/>
        <w:shd w:val="clear" w:color="auto" w:fill="FFFFFF"/>
        <w:spacing w:before="0" w:beforeAutospacing="0" w:after="0" w:afterAutospacing="0"/>
        <w:ind w:left="360"/>
        <w:rPr>
          <w:rFonts w:ascii="Verdana" w:hAnsi="Verdana"/>
          <w:iCs/>
          <w:sz w:val="20"/>
          <w:szCs w:val="20"/>
        </w:rPr>
      </w:pPr>
    </w:p>
    <w:p w:rsidR="0099350C" w:rsidRPr="00E26791" w:rsidRDefault="00E26791" w:rsidP="00E26791">
      <w:pPr>
        <w:pStyle w:val="NormalWeb"/>
        <w:shd w:val="clear" w:color="auto" w:fill="FFFFFF"/>
        <w:spacing w:before="0" w:beforeAutospacing="0" w:after="0" w:afterAutospacing="0"/>
        <w:rPr>
          <w:rFonts w:ascii="Verdana" w:hAnsi="Verdana"/>
          <w:iCs/>
          <w:sz w:val="20"/>
          <w:szCs w:val="20"/>
        </w:rPr>
      </w:pPr>
      <w:r w:rsidRPr="00E26791">
        <w:rPr>
          <w:rFonts w:ascii="Verdana" w:hAnsi="Verdana" w:cs="Calibri"/>
          <w:b/>
          <w:sz w:val="20"/>
          <w:szCs w:val="20"/>
        </w:rPr>
        <w:t>Staff Responsible:</w:t>
      </w:r>
    </w:p>
    <w:p w:rsidR="0099350C" w:rsidRPr="00E26791" w:rsidRDefault="0099350C" w:rsidP="0099350C">
      <w:pPr>
        <w:spacing w:after="120" w:line="240" w:lineRule="auto"/>
        <w:ind w:firstLine="720"/>
        <w:contextualSpacing/>
        <w:rPr>
          <w:rFonts w:cs="Calibri"/>
          <w:color w:val="auto"/>
          <w:szCs w:val="20"/>
        </w:rPr>
      </w:pPr>
      <w:r w:rsidRPr="00E26791">
        <w:rPr>
          <w:rFonts w:cs="Calibri"/>
          <w:b/>
          <w:color w:val="auto"/>
          <w:szCs w:val="20"/>
        </w:rPr>
        <w:t xml:space="preserve">District Level: </w:t>
      </w:r>
      <w:r w:rsidRPr="00E26791">
        <w:rPr>
          <w:rFonts w:cs="Calibri"/>
          <w:color w:val="auto"/>
          <w:szCs w:val="20"/>
        </w:rPr>
        <w:t>Special Education Director</w:t>
      </w:r>
    </w:p>
    <w:p w:rsidR="0099350C" w:rsidRPr="00E26791" w:rsidRDefault="0099350C" w:rsidP="0099350C">
      <w:pPr>
        <w:spacing w:after="120" w:line="240" w:lineRule="auto"/>
        <w:ind w:firstLine="720"/>
        <w:contextualSpacing/>
        <w:rPr>
          <w:rFonts w:cs="Calibri"/>
          <w:color w:val="auto"/>
          <w:szCs w:val="20"/>
        </w:rPr>
      </w:pPr>
      <w:r w:rsidRPr="00E26791">
        <w:rPr>
          <w:rFonts w:cs="Calibri"/>
          <w:b/>
          <w:color w:val="auto"/>
          <w:szCs w:val="20"/>
        </w:rPr>
        <w:lastRenderedPageBreak/>
        <w:t>Campus Level:</w:t>
      </w:r>
      <w:r w:rsidRPr="00E26791">
        <w:rPr>
          <w:rFonts w:cs="Calibri"/>
          <w:color w:val="auto"/>
          <w:szCs w:val="20"/>
        </w:rPr>
        <w:t xml:space="preserve"> Diagnostician/LSSP, Principal, Counselor</w:t>
      </w:r>
      <w:r w:rsidR="00163767" w:rsidRPr="00E26791">
        <w:rPr>
          <w:rFonts w:cs="Calibri"/>
          <w:color w:val="auto"/>
          <w:szCs w:val="20"/>
        </w:rPr>
        <w:t xml:space="preserve">, Related Service Personnel, Speech Language Pathologist </w:t>
      </w:r>
    </w:p>
    <w:p w:rsidR="0099350C" w:rsidRPr="00E26791" w:rsidRDefault="0099350C" w:rsidP="0099350C">
      <w:pPr>
        <w:spacing w:after="120" w:line="240" w:lineRule="auto"/>
        <w:contextualSpacing/>
        <w:rPr>
          <w:rFonts w:cs="Calibri"/>
          <w:color w:val="auto"/>
          <w:szCs w:val="20"/>
        </w:rPr>
      </w:pPr>
    </w:p>
    <w:p w:rsidR="0099350C" w:rsidRPr="00E26791" w:rsidRDefault="0099350C" w:rsidP="00E26791">
      <w:pPr>
        <w:spacing w:after="0" w:line="240" w:lineRule="auto"/>
        <w:contextualSpacing/>
        <w:rPr>
          <w:rFonts w:cs="Calibri"/>
          <w:b/>
          <w:bCs/>
          <w:color w:val="auto"/>
          <w:szCs w:val="20"/>
        </w:rPr>
      </w:pPr>
      <w:r w:rsidRPr="00E26791">
        <w:rPr>
          <w:rFonts w:cs="Calibri"/>
          <w:b/>
          <w:bCs/>
          <w:color w:val="auto"/>
          <w:szCs w:val="20"/>
        </w:rPr>
        <w:t>T</w:t>
      </w:r>
      <w:r w:rsidR="00E26791" w:rsidRPr="00E26791">
        <w:rPr>
          <w:rFonts w:cs="Calibri"/>
          <w:b/>
          <w:bCs/>
          <w:color w:val="auto"/>
          <w:szCs w:val="20"/>
        </w:rPr>
        <w:t>imelines</w:t>
      </w:r>
      <w:r w:rsidRPr="00E26791">
        <w:rPr>
          <w:rFonts w:cs="Calibri"/>
          <w:b/>
          <w:bCs/>
          <w:color w:val="auto"/>
          <w:szCs w:val="20"/>
        </w:rPr>
        <w:t>:</w:t>
      </w:r>
    </w:p>
    <w:p w:rsidR="00E26791" w:rsidRPr="00E26791" w:rsidRDefault="001408D8" w:rsidP="00E26791">
      <w:pPr>
        <w:pStyle w:val="ListParagraph"/>
        <w:numPr>
          <w:ilvl w:val="0"/>
          <w:numId w:val="21"/>
        </w:numPr>
        <w:spacing w:after="120" w:line="240" w:lineRule="auto"/>
        <w:rPr>
          <w:rFonts w:cs="Calibri"/>
          <w:color w:val="auto"/>
          <w:szCs w:val="20"/>
        </w:rPr>
      </w:pPr>
      <w:r w:rsidRPr="00E26791">
        <w:rPr>
          <w:iCs/>
          <w:color w:val="auto"/>
          <w:szCs w:val="20"/>
          <w:shd w:val="clear" w:color="auto" w:fill="FFFFFF"/>
        </w:rPr>
        <w:t xml:space="preserve">REED </w:t>
      </w:r>
      <w:r w:rsidR="00FB2706" w:rsidRPr="00E26791">
        <w:rPr>
          <w:iCs/>
          <w:color w:val="auto"/>
          <w:szCs w:val="20"/>
          <w:shd w:val="clear" w:color="auto" w:fill="FFFFFF"/>
        </w:rPr>
        <w:t>should</w:t>
      </w:r>
      <w:r w:rsidRPr="00E26791">
        <w:rPr>
          <w:iCs/>
          <w:color w:val="auto"/>
          <w:szCs w:val="20"/>
          <w:shd w:val="clear" w:color="auto" w:fill="FFFFFF"/>
        </w:rPr>
        <w:t xml:space="preserve"> be completed 30 days prior to the due date of the </w:t>
      </w:r>
      <w:r w:rsidR="006F5977" w:rsidRPr="00E26791">
        <w:rPr>
          <w:iCs/>
          <w:color w:val="auto"/>
          <w:szCs w:val="20"/>
          <w:shd w:val="clear" w:color="auto" w:fill="FFFFFF"/>
        </w:rPr>
        <w:t xml:space="preserve">3-year </w:t>
      </w:r>
      <w:r w:rsidRPr="00E26791">
        <w:rPr>
          <w:iCs/>
          <w:color w:val="auto"/>
          <w:szCs w:val="20"/>
          <w:shd w:val="clear" w:color="auto" w:fill="FFFFFF"/>
        </w:rPr>
        <w:t>re</w:t>
      </w:r>
      <w:r w:rsidR="006F5977" w:rsidRPr="00E26791">
        <w:rPr>
          <w:iCs/>
          <w:color w:val="auto"/>
          <w:szCs w:val="20"/>
          <w:shd w:val="clear" w:color="auto" w:fill="FFFFFF"/>
        </w:rPr>
        <w:t xml:space="preserve">evaluation </w:t>
      </w:r>
    </w:p>
    <w:p w:rsidR="00E26791" w:rsidRPr="00E26791" w:rsidRDefault="00E26791" w:rsidP="00E26791">
      <w:pPr>
        <w:pStyle w:val="ListParagraph"/>
        <w:spacing w:after="0" w:line="240" w:lineRule="auto"/>
        <w:rPr>
          <w:rFonts w:cs="Calibri"/>
          <w:b/>
          <w:iCs/>
          <w:color w:val="auto"/>
          <w:szCs w:val="20"/>
        </w:rPr>
      </w:pPr>
    </w:p>
    <w:p w:rsidR="00E26791" w:rsidRPr="00E26791" w:rsidRDefault="00E26791" w:rsidP="00E26791">
      <w:pPr>
        <w:spacing w:after="0" w:line="240" w:lineRule="auto"/>
        <w:rPr>
          <w:rFonts w:cs="Calibri"/>
          <w:b/>
          <w:iCs/>
          <w:color w:val="auto"/>
          <w:szCs w:val="20"/>
        </w:rPr>
      </w:pPr>
      <w:r w:rsidRPr="00E26791">
        <w:rPr>
          <w:rFonts w:cs="Calibri"/>
          <w:b/>
          <w:color w:val="auto"/>
          <w:szCs w:val="20"/>
        </w:rPr>
        <w:t>Evidence of Practice:</w:t>
      </w:r>
    </w:p>
    <w:p w:rsidR="00922F5A" w:rsidRPr="00E26791" w:rsidRDefault="00922F5A" w:rsidP="0099350C">
      <w:pPr>
        <w:pStyle w:val="ListParagraph"/>
        <w:numPr>
          <w:ilvl w:val="0"/>
          <w:numId w:val="22"/>
        </w:numPr>
        <w:spacing w:after="120" w:line="240" w:lineRule="auto"/>
        <w:rPr>
          <w:rFonts w:cs="Calibri"/>
          <w:bCs/>
          <w:color w:val="auto"/>
          <w:szCs w:val="20"/>
        </w:rPr>
      </w:pPr>
      <w:r w:rsidRPr="00E26791">
        <w:rPr>
          <w:rFonts w:cs="Calibri"/>
          <w:bCs/>
          <w:color w:val="auto"/>
          <w:szCs w:val="20"/>
        </w:rPr>
        <w:t>Review of Existing Evalu</w:t>
      </w:r>
      <w:r w:rsidR="006F5977" w:rsidRPr="00E26791">
        <w:rPr>
          <w:rFonts w:cs="Calibri"/>
          <w:bCs/>
          <w:color w:val="auto"/>
          <w:szCs w:val="20"/>
        </w:rPr>
        <w:t>a</w:t>
      </w:r>
      <w:r w:rsidRPr="00E26791">
        <w:rPr>
          <w:rFonts w:cs="Calibri"/>
          <w:bCs/>
          <w:color w:val="auto"/>
          <w:szCs w:val="20"/>
        </w:rPr>
        <w:t>tion Data (REED)</w:t>
      </w:r>
    </w:p>
    <w:p w:rsidR="0099350C" w:rsidRPr="00E26791" w:rsidRDefault="0099350C" w:rsidP="0099350C">
      <w:pPr>
        <w:pStyle w:val="ListParagraph"/>
        <w:numPr>
          <w:ilvl w:val="0"/>
          <w:numId w:val="22"/>
        </w:numPr>
        <w:spacing w:after="120" w:line="240" w:lineRule="auto"/>
        <w:rPr>
          <w:rFonts w:cs="Calibri"/>
          <w:bCs/>
          <w:color w:val="auto"/>
          <w:szCs w:val="20"/>
        </w:rPr>
      </w:pPr>
      <w:r w:rsidRPr="00E26791">
        <w:rPr>
          <w:rFonts w:cs="Calibri"/>
          <w:bCs/>
          <w:color w:val="auto"/>
          <w:szCs w:val="20"/>
        </w:rPr>
        <w:t>Consent forms</w:t>
      </w:r>
    </w:p>
    <w:p w:rsidR="00850B01" w:rsidRPr="00E26791" w:rsidRDefault="0099350C" w:rsidP="00C556A1">
      <w:pPr>
        <w:pStyle w:val="ListParagraph"/>
        <w:numPr>
          <w:ilvl w:val="0"/>
          <w:numId w:val="22"/>
        </w:numPr>
        <w:spacing w:after="0" w:line="240" w:lineRule="auto"/>
        <w:rPr>
          <w:rFonts w:eastAsia="Times New Roman" w:cs="Times New Roman"/>
          <w:color w:val="auto"/>
          <w:szCs w:val="20"/>
        </w:rPr>
      </w:pPr>
      <w:r w:rsidRPr="00E26791">
        <w:rPr>
          <w:rFonts w:cs="Calibri"/>
          <w:bCs/>
          <w:color w:val="auto"/>
          <w:szCs w:val="20"/>
        </w:rPr>
        <w:t>Prior Written Notice</w:t>
      </w:r>
    </w:p>
    <w:p w:rsidR="004B48BE" w:rsidRPr="00E26791" w:rsidRDefault="004B48BE" w:rsidP="00C556A1">
      <w:pPr>
        <w:pStyle w:val="ListParagraph"/>
        <w:numPr>
          <w:ilvl w:val="0"/>
          <w:numId w:val="22"/>
        </w:numPr>
        <w:spacing w:after="0" w:line="240" w:lineRule="auto"/>
        <w:rPr>
          <w:rFonts w:eastAsia="Times New Roman" w:cs="Times New Roman"/>
          <w:color w:val="auto"/>
          <w:szCs w:val="20"/>
        </w:rPr>
      </w:pPr>
      <w:r w:rsidRPr="00E26791">
        <w:rPr>
          <w:rFonts w:eastAsia="Times New Roman" w:cs="Times New Roman"/>
          <w:color w:val="auto"/>
          <w:szCs w:val="20"/>
        </w:rPr>
        <w:t xml:space="preserve">Contact Log </w:t>
      </w:r>
    </w:p>
    <w:p w:rsidR="0075625E" w:rsidRDefault="0075625E" w:rsidP="0099350C">
      <w:pPr>
        <w:pStyle w:val="ListParagraph"/>
        <w:spacing w:after="0" w:line="240" w:lineRule="auto"/>
        <w:rPr>
          <w:rFonts w:eastAsia="Times New Roman" w:cs="Times New Roman"/>
          <w:color w:val="auto"/>
          <w:szCs w:val="20"/>
        </w:rPr>
      </w:pPr>
    </w:p>
    <w:p w:rsidR="0075625E" w:rsidRPr="0075625E" w:rsidRDefault="0075625E" w:rsidP="0075625E"/>
    <w:p w:rsidR="0075625E" w:rsidRPr="0075625E" w:rsidRDefault="0075625E" w:rsidP="0075625E"/>
    <w:p w:rsidR="0075625E" w:rsidRPr="0075625E" w:rsidRDefault="0075625E" w:rsidP="0075625E"/>
    <w:p w:rsidR="0075625E" w:rsidRPr="0075625E" w:rsidRDefault="0075625E" w:rsidP="0075625E"/>
    <w:p w:rsidR="0075625E" w:rsidRPr="0075625E" w:rsidRDefault="0075625E" w:rsidP="0075625E"/>
    <w:p w:rsidR="0075625E" w:rsidRPr="0075625E" w:rsidRDefault="0075625E" w:rsidP="0075625E"/>
    <w:p w:rsidR="0075625E" w:rsidRPr="0075625E" w:rsidRDefault="0075625E" w:rsidP="0075625E"/>
    <w:p w:rsidR="0075625E" w:rsidRPr="0075625E" w:rsidRDefault="0075625E" w:rsidP="0075625E"/>
    <w:p w:rsidR="0075625E" w:rsidRPr="0075625E" w:rsidRDefault="0075625E" w:rsidP="0075625E"/>
    <w:p w:rsidR="0075625E" w:rsidRPr="0075625E" w:rsidRDefault="0075625E" w:rsidP="0075625E"/>
    <w:p w:rsidR="0075625E" w:rsidRPr="0075625E" w:rsidRDefault="0075625E" w:rsidP="0075625E"/>
    <w:p w:rsidR="0075625E" w:rsidRPr="0075625E" w:rsidRDefault="0075625E" w:rsidP="0075625E"/>
    <w:p w:rsidR="0075625E" w:rsidRPr="0075625E" w:rsidRDefault="0075625E" w:rsidP="0075625E"/>
    <w:p w:rsidR="0075625E" w:rsidRPr="0075625E" w:rsidRDefault="0075625E" w:rsidP="0075625E"/>
    <w:p w:rsidR="0075625E" w:rsidRPr="0075625E" w:rsidRDefault="0075625E" w:rsidP="0075625E"/>
    <w:p w:rsidR="0075625E" w:rsidRPr="0075625E" w:rsidRDefault="0075625E" w:rsidP="0075625E"/>
    <w:p w:rsidR="0075625E" w:rsidRPr="0075625E" w:rsidRDefault="0075625E" w:rsidP="0075625E"/>
    <w:p w:rsidR="0075625E" w:rsidRPr="0075625E" w:rsidRDefault="0075625E" w:rsidP="0075625E"/>
    <w:p w:rsidR="0075625E" w:rsidRPr="0075625E" w:rsidRDefault="0075625E" w:rsidP="0075625E"/>
    <w:p w:rsidR="0099350C" w:rsidRPr="0075625E" w:rsidRDefault="0075625E" w:rsidP="0075625E">
      <w:pPr>
        <w:tabs>
          <w:tab w:val="left" w:pos="2265"/>
        </w:tabs>
      </w:pPr>
      <w:r>
        <w:tab/>
      </w:r>
    </w:p>
    <w:sectPr w:rsidR="0099350C" w:rsidRPr="0075625E" w:rsidSect="00A15E59">
      <w:headerReference w:type="even" r:id="rId17"/>
      <w:headerReference w:type="default" r:id="rId18"/>
      <w:footerReference w:type="even" r:id="rId19"/>
      <w:footerReference w:type="default" r:id="rId20"/>
      <w:headerReference w:type="first" r:id="rId21"/>
      <w:footerReference w:type="first" r:id="rId22"/>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2631" w:rsidRDefault="00FB2631">
      <w:pPr>
        <w:spacing w:after="0" w:line="240" w:lineRule="auto"/>
      </w:pPr>
      <w:r>
        <w:separator/>
      </w:r>
    </w:p>
  </w:endnote>
  <w:endnote w:type="continuationSeparator" w:id="0">
    <w:p w:rsidR="00FB2631" w:rsidRDefault="00FB2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25E" w:rsidRDefault="00756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86"/>
      <w:gridCol w:w="6074"/>
    </w:tblGrid>
    <w:tr w:rsidR="00A15E59" w:rsidRPr="00CD22C5" w:rsidTr="007A30FA">
      <w:trPr>
        <w:jc w:val="center"/>
      </w:trPr>
      <w:tc>
        <w:tcPr>
          <w:tcW w:w="3348" w:type="dxa"/>
          <w:vAlign w:val="center"/>
        </w:tcPr>
        <w:p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C21387">
            <w:rPr>
              <w:b w:val="0"/>
              <w:sz w:val="16"/>
              <w:szCs w:val="16"/>
            </w:rPr>
            <w:t>Procedures</w:t>
          </w:r>
        </w:p>
      </w:tc>
      <w:tc>
        <w:tcPr>
          <w:tcW w:w="6228" w:type="dxa"/>
          <w:vAlign w:val="center"/>
        </w:tcPr>
        <w:p w:rsidR="00A15E59" w:rsidRPr="009A1B8F" w:rsidRDefault="003F02D1" w:rsidP="003F02D1">
          <w:pPr>
            <w:pStyle w:val="Footer"/>
            <w:tabs>
              <w:tab w:val="left" w:pos="1260"/>
            </w:tabs>
            <w:jc w:val="right"/>
            <w:rPr>
              <w:sz w:val="16"/>
              <w:szCs w:val="16"/>
            </w:rPr>
          </w:pPr>
          <w:r>
            <w:rPr>
              <w:sz w:val="16"/>
              <w:szCs w:val="16"/>
            </w:rPr>
            <w:t>CONSENT FOR REEVALUATION</w:t>
          </w:r>
        </w:p>
      </w:tc>
    </w:tr>
    <w:tr w:rsidR="00A15E59" w:rsidRPr="00CD22C5" w:rsidTr="007A30FA">
      <w:trPr>
        <w:jc w:val="center"/>
      </w:trPr>
      <w:tc>
        <w:tcPr>
          <w:tcW w:w="3348" w:type="dxa"/>
          <w:vAlign w:val="center"/>
        </w:tcPr>
        <w:p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354E91" w:rsidRPr="0075625E">
            <w:rPr>
              <w:b w:val="0"/>
              <w:sz w:val="16"/>
              <w:szCs w:val="16"/>
            </w:rPr>
            <w:t>08/202</w:t>
          </w:r>
          <w:r w:rsidR="009F5C86">
            <w:rPr>
              <w:b w:val="0"/>
              <w:sz w:val="16"/>
              <w:szCs w:val="16"/>
            </w:rPr>
            <w:t>5</w:t>
          </w:r>
          <w:bookmarkStart w:id="0" w:name="_GoBack"/>
          <w:bookmarkEnd w:id="0"/>
        </w:p>
      </w:tc>
      <w:tc>
        <w:tcPr>
          <w:tcW w:w="6228" w:type="dxa"/>
          <w:vAlign w:val="center"/>
        </w:tcPr>
        <w:p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C7098B">
            <w:rPr>
              <w:b w:val="0"/>
              <w:noProof/>
              <w:sz w:val="16"/>
              <w:szCs w:val="16"/>
            </w:rPr>
            <w:t>3</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C7098B">
            <w:rPr>
              <w:b w:val="0"/>
              <w:noProof/>
              <w:sz w:val="16"/>
              <w:szCs w:val="16"/>
            </w:rPr>
            <w:t>3</w:t>
          </w:r>
          <w:r w:rsidRPr="00CD22C5">
            <w:rPr>
              <w:b w:val="0"/>
              <w:sz w:val="16"/>
              <w:szCs w:val="16"/>
            </w:rPr>
            <w:fldChar w:fldCharType="end"/>
          </w:r>
        </w:p>
      </w:tc>
    </w:tr>
  </w:tbl>
  <w:p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rsidTr="00CD22C5">
      <w:tc>
        <w:tcPr>
          <w:tcW w:w="4338" w:type="dxa"/>
          <w:vAlign w:val="center"/>
        </w:tcPr>
        <w:p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rsidTr="00CD22C5">
      <w:tc>
        <w:tcPr>
          <w:tcW w:w="4338" w:type="dxa"/>
          <w:vAlign w:val="center"/>
        </w:tcPr>
        <w:p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894CA1">
            <w:rPr>
              <w:b w:val="0"/>
              <w:noProof/>
              <w:sz w:val="16"/>
              <w:szCs w:val="16"/>
            </w:rPr>
            <w:t>1</w:t>
          </w:r>
          <w:r w:rsidRPr="00CD22C5">
            <w:rPr>
              <w:b w:val="0"/>
              <w:sz w:val="16"/>
              <w:szCs w:val="16"/>
            </w:rPr>
            <w:fldChar w:fldCharType="end"/>
          </w:r>
        </w:p>
      </w:tc>
    </w:tr>
  </w:tbl>
  <w:p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2631" w:rsidRDefault="00FB2631">
      <w:pPr>
        <w:spacing w:after="0" w:line="240" w:lineRule="auto"/>
      </w:pPr>
      <w:r>
        <w:separator/>
      </w:r>
    </w:p>
  </w:footnote>
  <w:footnote w:type="continuationSeparator" w:id="0">
    <w:p w:rsidR="00FB2631" w:rsidRDefault="00FB2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25E" w:rsidRDefault="00756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A15E59" w:rsidRPr="00A15E59" w:rsidRDefault="00A15E59" w:rsidP="00A15E59">
          <w:pPr>
            <w:pStyle w:val="Header"/>
            <w:spacing w:before="0"/>
            <w:jc w:val="center"/>
            <w:rPr>
              <w:color w:val="0F3966" w:themeColor="accent1"/>
              <w:sz w:val="24"/>
            </w:rPr>
          </w:pPr>
          <w:r w:rsidRPr="00A15E59">
            <w:rPr>
              <w:sz w:val="24"/>
            </w:rPr>
            <w:t xml:space="preserve">OPERATING </w:t>
          </w:r>
          <w:r w:rsidR="00C21387">
            <w:rPr>
              <w:sz w:val="24"/>
            </w:rPr>
            <w:t>PROCEDURES</w:t>
          </w:r>
        </w:p>
      </w:tc>
    </w:tr>
    <w:tr w:rsidR="00A15E59" w:rsidRPr="00A15E59"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727C62" w:rsidRPr="00A15E59" w:rsidRDefault="003F02D1" w:rsidP="003F02D1">
          <w:pPr>
            <w:pStyle w:val="Header"/>
            <w:spacing w:before="0"/>
            <w:jc w:val="center"/>
            <w:rPr>
              <w:sz w:val="24"/>
            </w:rPr>
          </w:pPr>
          <w:r>
            <w:rPr>
              <w:sz w:val="24"/>
            </w:rPr>
            <w:t>CONSENT FOR REEVALUATION</w:t>
          </w:r>
        </w:p>
      </w:tc>
    </w:tr>
    <w:tr w:rsidR="00A15E59" w:rsidRPr="00A15E59"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rsidR="00A15E59" w:rsidRDefault="00A15E59" w:rsidP="0017202D">
          <w:pPr>
            <w:pStyle w:val="Header"/>
            <w:spacing w:before="0"/>
            <w:jc w:val="left"/>
            <w:rPr>
              <w:b w:val="0"/>
            </w:rPr>
          </w:pPr>
        </w:p>
        <w:p w:rsidR="00496166" w:rsidRPr="00A15E59" w:rsidRDefault="00496166" w:rsidP="0017202D">
          <w:pPr>
            <w:pStyle w:val="Header"/>
            <w:spacing w:before="0"/>
            <w:jc w:val="left"/>
          </w:pPr>
          <w:r>
            <w:t>Robertson County Special Services</w:t>
          </w:r>
        </w:p>
      </w:tc>
      <w:tc>
        <w:tcPr>
          <w:tcW w:w="1710" w:type="dxa"/>
          <w:vAlign w:val="center"/>
        </w:tcPr>
        <w:p w:rsidR="00A15E59" w:rsidRPr="00A15E5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pPr>
        </w:p>
      </w:tc>
    </w:tr>
  </w:tbl>
  <w:p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25E" w:rsidRDefault="00756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72A192B"/>
    <w:multiLevelType w:val="hybridMultilevel"/>
    <w:tmpl w:val="7D7A0D2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BA41CE"/>
    <w:multiLevelType w:val="hybridMultilevel"/>
    <w:tmpl w:val="8494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0F5CD3"/>
    <w:multiLevelType w:val="hybridMultilevel"/>
    <w:tmpl w:val="BDBC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563CF5"/>
    <w:multiLevelType w:val="hybridMultilevel"/>
    <w:tmpl w:val="73C83A6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3" w15:restartNumberingAfterBreak="0">
    <w:nsid w:val="21E63AA4"/>
    <w:multiLevelType w:val="hybridMultilevel"/>
    <w:tmpl w:val="C3205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0A42EF"/>
    <w:multiLevelType w:val="hybridMultilevel"/>
    <w:tmpl w:val="E094167E"/>
    <w:lvl w:ilvl="0" w:tplc="A072D43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126529"/>
    <w:multiLevelType w:val="hybridMultilevel"/>
    <w:tmpl w:val="42FC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A167BB"/>
    <w:multiLevelType w:val="hybridMultilevel"/>
    <w:tmpl w:val="703C11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B9522C6"/>
    <w:multiLevelType w:val="hybridMultilevel"/>
    <w:tmpl w:val="6EDC658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32D6FEB"/>
    <w:multiLevelType w:val="hybridMultilevel"/>
    <w:tmpl w:val="379A6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CA66A5"/>
    <w:multiLevelType w:val="hybridMultilevel"/>
    <w:tmpl w:val="017426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11"/>
  </w:num>
  <w:num w:numId="14">
    <w:abstractNumId w:val="19"/>
  </w:num>
  <w:num w:numId="15">
    <w:abstractNumId w:val="15"/>
  </w:num>
  <w:num w:numId="16">
    <w:abstractNumId w:val="14"/>
  </w:num>
  <w:num w:numId="17">
    <w:abstractNumId w:val="10"/>
  </w:num>
  <w:num w:numId="18">
    <w:abstractNumId w:val="16"/>
  </w:num>
  <w:num w:numId="19">
    <w:abstractNumId w:val="12"/>
  </w:num>
  <w:num w:numId="20">
    <w:abstractNumId w:val="20"/>
  </w:num>
  <w:num w:numId="21">
    <w:abstractNumId w:val="18"/>
  </w:num>
  <w:num w:numId="22">
    <w:abstractNumId w:val="17"/>
  </w:num>
  <w:num w:numId="23">
    <w:abstractNumId w:val="1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26EFA"/>
    <w:rsid w:val="00027F91"/>
    <w:rsid w:val="0004033F"/>
    <w:rsid w:val="000C084D"/>
    <w:rsid w:val="000C551A"/>
    <w:rsid w:val="0010401E"/>
    <w:rsid w:val="00121A72"/>
    <w:rsid w:val="001408D8"/>
    <w:rsid w:val="00140EB8"/>
    <w:rsid w:val="00163767"/>
    <w:rsid w:val="0017202D"/>
    <w:rsid w:val="001926E0"/>
    <w:rsid w:val="001C332B"/>
    <w:rsid w:val="001C6AC8"/>
    <w:rsid w:val="001E4ECB"/>
    <w:rsid w:val="002045E8"/>
    <w:rsid w:val="002228F1"/>
    <w:rsid w:val="00271990"/>
    <w:rsid w:val="00287E6A"/>
    <w:rsid w:val="003143B7"/>
    <w:rsid w:val="003270C0"/>
    <w:rsid w:val="00354E91"/>
    <w:rsid w:val="00366E4F"/>
    <w:rsid w:val="003812DA"/>
    <w:rsid w:val="003920EE"/>
    <w:rsid w:val="003F02D1"/>
    <w:rsid w:val="00426C23"/>
    <w:rsid w:val="00452D0C"/>
    <w:rsid w:val="00462709"/>
    <w:rsid w:val="00496166"/>
    <w:rsid w:val="004B3D2E"/>
    <w:rsid w:val="004B48BE"/>
    <w:rsid w:val="004C26A1"/>
    <w:rsid w:val="004E2A26"/>
    <w:rsid w:val="004F27C1"/>
    <w:rsid w:val="004F452C"/>
    <w:rsid w:val="00512E3A"/>
    <w:rsid w:val="005B4D80"/>
    <w:rsid w:val="00611F2A"/>
    <w:rsid w:val="006270B0"/>
    <w:rsid w:val="00633C11"/>
    <w:rsid w:val="006E3F0A"/>
    <w:rsid w:val="006F5977"/>
    <w:rsid w:val="00727C62"/>
    <w:rsid w:val="007361FC"/>
    <w:rsid w:val="0075625E"/>
    <w:rsid w:val="007A30FA"/>
    <w:rsid w:val="007D5D41"/>
    <w:rsid w:val="00831F03"/>
    <w:rsid w:val="00836E9A"/>
    <w:rsid w:val="00850B01"/>
    <w:rsid w:val="008820F1"/>
    <w:rsid w:val="00884D94"/>
    <w:rsid w:val="0089400D"/>
    <w:rsid w:val="00894CA1"/>
    <w:rsid w:val="008B4399"/>
    <w:rsid w:val="008E1425"/>
    <w:rsid w:val="008F656D"/>
    <w:rsid w:val="00922F5A"/>
    <w:rsid w:val="00924B11"/>
    <w:rsid w:val="009415A3"/>
    <w:rsid w:val="0094355D"/>
    <w:rsid w:val="00962988"/>
    <w:rsid w:val="00976E6E"/>
    <w:rsid w:val="00980EAE"/>
    <w:rsid w:val="0099350C"/>
    <w:rsid w:val="00996831"/>
    <w:rsid w:val="009F5C86"/>
    <w:rsid w:val="00A15E59"/>
    <w:rsid w:val="00A5365B"/>
    <w:rsid w:val="00AA0D55"/>
    <w:rsid w:val="00AD19F3"/>
    <w:rsid w:val="00AF4B0B"/>
    <w:rsid w:val="00BD3EF7"/>
    <w:rsid w:val="00BE4D54"/>
    <w:rsid w:val="00BF06FA"/>
    <w:rsid w:val="00C21387"/>
    <w:rsid w:val="00C24BAB"/>
    <w:rsid w:val="00C2558A"/>
    <w:rsid w:val="00C52250"/>
    <w:rsid w:val="00C6479F"/>
    <w:rsid w:val="00C6562F"/>
    <w:rsid w:val="00C7098B"/>
    <w:rsid w:val="00CD22C5"/>
    <w:rsid w:val="00CE51BE"/>
    <w:rsid w:val="00CE5EEE"/>
    <w:rsid w:val="00D100AD"/>
    <w:rsid w:val="00D226F8"/>
    <w:rsid w:val="00D45E93"/>
    <w:rsid w:val="00D46B8E"/>
    <w:rsid w:val="00D54A17"/>
    <w:rsid w:val="00D63FD3"/>
    <w:rsid w:val="00D86C37"/>
    <w:rsid w:val="00DB231F"/>
    <w:rsid w:val="00DE5696"/>
    <w:rsid w:val="00DF5B9C"/>
    <w:rsid w:val="00E00450"/>
    <w:rsid w:val="00E009AB"/>
    <w:rsid w:val="00E01C52"/>
    <w:rsid w:val="00E103D5"/>
    <w:rsid w:val="00E164D4"/>
    <w:rsid w:val="00E20AB4"/>
    <w:rsid w:val="00E21132"/>
    <w:rsid w:val="00E26791"/>
    <w:rsid w:val="00E30FC1"/>
    <w:rsid w:val="00E37D8B"/>
    <w:rsid w:val="00E514A4"/>
    <w:rsid w:val="00E66665"/>
    <w:rsid w:val="00ED5C01"/>
    <w:rsid w:val="00EE1684"/>
    <w:rsid w:val="00EE1F1C"/>
    <w:rsid w:val="00F04CEA"/>
    <w:rsid w:val="00F11CFF"/>
    <w:rsid w:val="00F120D0"/>
    <w:rsid w:val="00F64337"/>
    <w:rsid w:val="00F74C58"/>
    <w:rsid w:val="00F8159A"/>
    <w:rsid w:val="00F90F60"/>
    <w:rsid w:val="00FB14D2"/>
    <w:rsid w:val="00FB2631"/>
    <w:rsid w:val="00FB2706"/>
    <w:rsid w:val="00FC4DAA"/>
    <w:rsid w:val="00FC6D50"/>
    <w:rsid w:val="00FD7CB6"/>
    <w:rsid w:val="00FE06F9"/>
    <w:rsid w:val="00FE2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1BA15"/>
  <w15:docId w15:val="{F1BDD124-672D-4FD1-B16D-EE5B5D13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6E0"/>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qFormat/>
    <w:rsid w:val="001926E0"/>
    <w:rPr>
      <w:rFonts w:ascii="Verdana" w:hAnsi="Verdana"/>
      <w:color w:val="0000FF"/>
      <w:sz w:val="20"/>
      <w:u w:val="single" w:color="0000FF"/>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ListParagraph">
    <w:name w:val="List Paragraph"/>
    <w:basedOn w:val="Normal"/>
    <w:uiPriority w:val="34"/>
    <w:qFormat/>
    <w:rsid w:val="008B4399"/>
    <w:pPr>
      <w:ind w:left="720"/>
      <w:contextualSpacing/>
    </w:pPr>
  </w:style>
  <w:style w:type="paragraph" w:styleId="NormalWeb">
    <w:name w:val="Normal (Web)"/>
    <w:basedOn w:val="Normal"/>
    <w:uiPriority w:val="99"/>
    <w:unhideWhenUsed/>
    <w:rsid w:val="007361FC"/>
    <w:pPr>
      <w:spacing w:before="100" w:beforeAutospacing="1" w:after="100" w:afterAutospacing="1" w:line="240" w:lineRule="auto"/>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471627">
      <w:bodyDiv w:val="1"/>
      <w:marLeft w:val="0"/>
      <w:marRight w:val="0"/>
      <w:marTop w:val="0"/>
      <w:marBottom w:val="0"/>
      <w:divBdr>
        <w:top w:val="none" w:sz="0" w:space="0" w:color="auto"/>
        <w:left w:val="none" w:sz="0" w:space="0" w:color="auto"/>
        <w:bottom w:val="none" w:sz="0" w:space="0" w:color="auto"/>
        <w:right w:val="none" w:sz="0" w:space="0" w:color="auto"/>
      </w:divBdr>
    </w:div>
    <w:div w:id="333074874">
      <w:bodyDiv w:val="1"/>
      <w:marLeft w:val="0"/>
      <w:marRight w:val="0"/>
      <w:marTop w:val="0"/>
      <w:marBottom w:val="0"/>
      <w:divBdr>
        <w:top w:val="none" w:sz="0" w:space="0" w:color="auto"/>
        <w:left w:val="none" w:sz="0" w:space="0" w:color="auto"/>
        <w:bottom w:val="none" w:sz="0" w:space="0" w:color="auto"/>
        <w:right w:val="none" w:sz="0" w:space="0" w:color="auto"/>
      </w:divBdr>
    </w:div>
    <w:div w:id="708064434">
      <w:bodyDiv w:val="1"/>
      <w:marLeft w:val="0"/>
      <w:marRight w:val="0"/>
      <w:marTop w:val="0"/>
      <w:marBottom w:val="0"/>
      <w:divBdr>
        <w:top w:val="none" w:sz="0" w:space="0" w:color="auto"/>
        <w:left w:val="none" w:sz="0" w:space="0" w:color="auto"/>
        <w:bottom w:val="none" w:sz="0" w:space="0" w:color="auto"/>
        <w:right w:val="none" w:sz="0" w:space="0" w:color="auto"/>
      </w:divBdr>
    </w:div>
    <w:div w:id="126395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188&amp;DT=G&amp;LID=en" TargetMode="External"/><Relationship Id="rId13" Type="http://schemas.openxmlformats.org/officeDocument/2006/relationships/hyperlink" Target="http://www2.ed.gov/policy/speced/guid/idea/letters/2007-1/christiansen020907discipline1q2007.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ed.gov/policy/speced/guid/idea/letters/2008-2/sarzynski050608consent2q2008.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framework.esc18.net/display/Webforms/LandingPage.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ed.gov/policy/speced/guid/idea/discipline-q-a.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dea-b.ed.gov/uploads/IEP.Q&amp;A._September_2011_FINAL.pdf" TargetMode="External"/><Relationship Id="rId23" Type="http://schemas.openxmlformats.org/officeDocument/2006/relationships/fontTable" Target="fontTable.xml"/><Relationship Id="rId10" Type="http://schemas.openxmlformats.org/officeDocument/2006/relationships/hyperlink" Target="http://www.ed.gov/policy/speced/guid/idea/letters/2008-2/sarzynski050608consent2q2008.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d.gov/policy/speced/guid/idea/letters/2007-3/sarzynski090507eval3q2007.pdf" TargetMode="External"/><Relationship Id="rId14" Type="http://schemas.openxmlformats.org/officeDocument/2006/relationships/hyperlink" Target="http://www2.ed.gov/policy/speced/guid/idea/memosdcltrs/14-016945r-mi-mcwilliams-bip-6-19-15.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BEF05C7-6AFE-451D-B523-F3BDACD76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1838</Words>
  <Characters>10481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25</cp:revision>
  <cp:lastPrinted>2016-03-01T22:06:00Z</cp:lastPrinted>
  <dcterms:created xsi:type="dcterms:W3CDTF">2020-09-16T13:45:00Z</dcterms:created>
  <dcterms:modified xsi:type="dcterms:W3CDTF">2025-10-27T14:53:00Z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