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tgtFrame="_blank" w:history="1">
        <w:r w:rsidR="00DA64F9">
          <w:rPr>
            <w:rStyle w:val="Hyperlink"/>
            <w:szCs w:val="20"/>
          </w:rPr>
          <w:t>Consent to Access Public Benefits</w:t>
        </w:r>
      </w:hyperlink>
      <w:r w:rsidRPr="008E1425">
        <w:rPr>
          <w:color w:val="000000" w:themeColor="text1"/>
          <w:szCs w:val="20"/>
        </w:rPr>
        <w:t xml:space="preserve"> </w:t>
      </w:r>
    </w:p>
    <w:p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DA64F9">
        <w:rPr>
          <w:color w:val="000000" w:themeColor="text1"/>
          <w:szCs w:val="20"/>
        </w:rPr>
        <w:t>Consent</w:t>
      </w:r>
      <w:r w:rsidR="009415A3">
        <w:rPr>
          <w:color w:val="000099"/>
          <w:szCs w:val="20"/>
        </w:rPr>
        <w:tab/>
      </w:r>
      <w:r w:rsidR="00980EAE">
        <w:rPr>
          <w:color w:val="000000" w:themeColor="text1"/>
          <w:sz w:val="12"/>
          <w:szCs w:val="12"/>
        </w:rPr>
        <w:t>Template update Oct</w:t>
      </w:r>
      <w:r w:rsidR="009415A3" w:rsidRPr="009415A3">
        <w:rPr>
          <w:color w:val="000000" w:themeColor="text1"/>
          <w:sz w:val="12"/>
          <w:szCs w:val="12"/>
        </w:rPr>
        <w:t xml:space="preserve"> 2016</w:t>
      </w:r>
    </w:p>
    <w:p w:rsidR="00D46B8E" w:rsidRPr="008F6976" w:rsidRDefault="00D46B8E" w:rsidP="00D46B8E">
      <w:pPr>
        <w:spacing w:after="0" w:line="240" w:lineRule="auto"/>
        <w:jc w:val="both"/>
        <w:rPr>
          <w:rFonts w:eastAsia="Times New Roman" w:cs="Times New Roman"/>
          <w:color w:val="auto"/>
          <w:szCs w:val="20"/>
        </w:rPr>
      </w:pPr>
    </w:p>
    <w:p w:rsidR="008F6976" w:rsidRPr="008F6976" w:rsidRDefault="008F6976" w:rsidP="008F6976">
      <w:pPr>
        <w:spacing w:after="0" w:line="240" w:lineRule="auto"/>
        <w:jc w:val="both"/>
        <w:rPr>
          <w:rFonts w:eastAsia="Times New Roman" w:cs="Times New Roman"/>
          <w:color w:val="auto"/>
          <w:szCs w:val="20"/>
        </w:rPr>
      </w:pPr>
      <w:r w:rsidRPr="008F6976">
        <w:rPr>
          <w:rFonts w:eastAsia="Times New Roman" w:cs="Times New Roman"/>
          <w:color w:val="auto"/>
          <w:szCs w:val="20"/>
        </w:rPr>
        <w:t xml:space="preserve">“The definition of </w:t>
      </w:r>
      <w:r w:rsidRPr="008F6976">
        <w:rPr>
          <w:rFonts w:eastAsia="Times New Roman" w:cs="Times New Roman"/>
          <w:i/>
          <w:color w:val="auto"/>
          <w:szCs w:val="20"/>
        </w:rPr>
        <w:t>consent</w:t>
      </w:r>
      <w:r w:rsidRPr="008F6976">
        <w:rPr>
          <w:rFonts w:eastAsia="Times New Roman" w:cs="Times New Roman"/>
          <w:color w:val="auto"/>
          <w:szCs w:val="20"/>
        </w:rPr>
        <w:t xml:space="preserve"> requires a parent to be fully informed of all information relevant to the activity for which consent is sought. The definition also requires a parent to agree in writing to an activity for which consent is sought.  Therefore, whenever consent is used in these regulations, it means that the consent is both informed and in writing.”  71 Fed. Reg. 46551 (August 14, 2006).</w:t>
      </w:r>
    </w:p>
    <w:p w:rsidR="008F6976" w:rsidRPr="008F6976" w:rsidRDefault="008F6976" w:rsidP="008F6976">
      <w:pPr>
        <w:spacing w:after="0" w:line="240" w:lineRule="auto"/>
        <w:jc w:val="both"/>
        <w:rPr>
          <w:rFonts w:eastAsia="Times New Roman" w:cs="Times New Roman"/>
          <w:color w:val="auto"/>
          <w:szCs w:val="20"/>
        </w:rPr>
      </w:pPr>
    </w:p>
    <w:p w:rsidR="008F6976" w:rsidRPr="008F6976" w:rsidRDefault="008F6976" w:rsidP="008F6976">
      <w:pPr>
        <w:spacing w:after="0" w:line="240" w:lineRule="auto"/>
        <w:jc w:val="both"/>
        <w:rPr>
          <w:rFonts w:eastAsia="Times New Roman" w:cs="Times New Roman"/>
          <w:color w:val="auto"/>
          <w:szCs w:val="20"/>
        </w:rPr>
      </w:pPr>
      <w:r w:rsidRPr="008F6976">
        <w:rPr>
          <w:rFonts w:eastAsia="Times New Roman" w:cs="Times New Roman"/>
          <w:color w:val="auto"/>
          <w:szCs w:val="20"/>
        </w:rPr>
        <w:t>“As a matter of practice, public agencies begin the process of obtaining parental consent by identifying the parent and contacting the parent by phone or through written correspondence, or speaking to the parent in parent-teacher conferences.”  71 Fed. Reg. 46629 (August 14, 2006).</w:t>
      </w:r>
    </w:p>
    <w:p w:rsidR="008F6976" w:rsidRPr="008F6976" w:rsidRDefault="008F6976" w:rsidP="008F6976">
      <w:pPr>
        <w:spacing w:after="0" w:line="240" w:lineRule="auto"/>
        <w:rPr>
          <w:rFonts w:eastAsia="Times New Roman" w:cs="Times New Roman"/>
          <w:color w:val="auto"/>
          <w:szCs w:val="20"/>
        </w:rPr>
      </w:pPr>
    </w:p>
    <w:p w:rsidR="008F6976" w:rsidRPr="008F6976" w:rsidRDefault="008F6976" w:rsidP="008F6976">
      <w:pPr>
        <w:spacing w:after="0" w:line="240" w:lineRule="auto"/>
        <w:jc w:val="both"/>
        <w:rPr>
          <w:rFonts w:eastAsia="Times New Roman" w:cs="Times New Roman"/>
          <w:color w:val="auto"/>
          <w:szCs w:val="20"/>
        </w:rPr>
      </w:pPr>
      <w:r w:rsidRPr="008F6976">
        <w:rPr>
          <w:rFonts w:eastAsia="Times New Roman" w:cs="Times New Roman"/>
          <w:color w:val="auto"/>
          <w:szCs w:val="20"/>
        </w:rPr>
        <w:t>“If a surrogate parent already has been appointed because the public agency, after reasonable efforts, could not locate a parent, the public agency would not have to again attempt to contact other individuals meeting the definition of parent in § 300.30 to seek consent.”  71</w:t>
      </w:r>
      <w:r>
        <w:t> </w:t>
      </w:r>
      <w:r w:rsidRPr="008F6976">
        <w:rPr>
          <w:rFonts w:eastAsia="Times New Roman" w:cs="Times New Roman"/>
          <w:color w:val="auto"/>
          <w:szCs w:val="20"/>
        </w:rPr>
        <w:t>Fed. Reg. 46631 (August 14, 2006).</w:t>
      </w:r>
    </w:p>
    <w:p w:rsidR="008F6976" w:rsidRPr="008F6976" w:rsidRDefault="008F6976" w:rsidP="008F6976">
      <w:pPr>
        <w:spacing w:after="0" w:line="240" w:lineRule="auto"/>
        <w:jc w:val="both"/>
        <w:rPr>
          <w:rFonts w:eastAsia="Times New Roman" w:cs="Times New Roman"/>
          <w:color w:val="auto"/>
          <w:szCs w:val="20"/>
        </w:rPr>
      </w:pPr>
    </w:p>
    <w:p w:rsidR="008F6976" w:rsidRPr="008F6976" w:rsidRDefault="008F6976" w:rsidP="008F6976">
      <w:pPr>
        <w:spacing w:after="0" w:line="240" w:lineRule="auto"/>
        <w:jc w:val="both"/>
        <w:rPr>
          <w:rFonts w:eastAsia="Times New Roman" w:cs="Times New Roman"/>
          <w:color w:val="auto"/>
          <w:szCs w:val="20"/>
        </w:rPr>
      </w:pPr>
      <w:r w:rsidRPr="008F6976">
        <w:rPr>
          <w:rFonts w:eastAsia="Times New Roman" w:cs="Times New Roman"/>
          <w:color w:val="auto"/>
          <w:szCs w:val="20"/>
        </w:rPr>
        <w:t>On February 14, 2013, the U.S. Department of Education issued amended regulations.</w:t>
      </w:r>
      <w:r>
        <w:rPr>
          <w:rFonts w:eastAsia="Times New Roman" w:cs="Times New Roman"/>
          <w:color w:val="auto"/>
          <w:szCs w:val="20"/>
        </w:rPr>
        <w:t xml:space="preserve"> </w:t>
      </w:r>
      <w:r w:rsidRPr="008F6976">
        <w:rPr>
          <w:rFonts w:eastAsia="Times New Roman" w:cs="Times New Roman"/>
          <w:color w:val="auto"/>
          <w:szCs w:val="20"/>
        </w:rPr>
        <w:t xml:space="preserve"> “These amendments revise the parental consent requirements a public agency must meet before it may access for the first time a child’s or parent’s public benefits or insurance (e.g., Medicaid) to pay for services required under the Act; ensure that parents of children with disabilities are specifically informed of all of their legal protections when public agencies seek to access public benefits or insurance (e.g., Medicaid) to pay for services required under the Act; and address the concerns expressed by State educational agencies (SEAs) and local educational agencies (LEAs) that requiring parental consent each time access to public benefits or insurance is sought, in addition to the parental consent required by the Family Educational Rights and Privacy Act (FERPA) and section 617(c) of the [Individuals with Disabilities Education Act] IDEA, imposes unnecessary costs and administrative burdens.”  78 Fed. Reg. 10525 (February 14, 2013). These amendments became effective on March 18, 2013.</w:t>
      </w:r>
    </w:p>
    <w:p w:rsidR="008F6976" w:rsidRPr="008F6976" w:rsidRDefault="008F6976" w:rsidP="008F6976">
      <w:pPr>
        <w:spacing w:after="0" w:line="240" w:lineRule="auto"/>
        <w:jc w:val="both"/>
        <w:rPr>
          <w:rFonts w:eastAsia="Times New Roman" w:cs="Times New Roman"/>
          <w:color w:val="auto"/>
          <w:szCs w:val="20"/>
        </w:rPr>
      </w:pPr>
    </w:p>
    <w:p w:rsidR="008F6976" w:rsidRPr="008F6976" w:rsidRDefault="008F6976" w:rsidP="008F6976">
      <w:pPr>
        <w:spacing w:after="0" w:line="240" w:lineRule="auto"/>
        <w:jc w:val="both"/>
        <w:rPr>
          <w:rFonts w:eastAsia="Times New Roman" w:cs="Times New Roman"/>
          <w:color w:val="auto"/>
          <w:szCs w:val="20"/>
        </w:rPr>
      </w:pPr>
      <w:r w:rsidRPr="008F6976">
        <w:rPr>
          <w:rFonts w:eastAsia="Times New Roman" w:cs="Times New Roman"/>
          <w:color w:val="auto"/>
          <w:szCs w:val="20"/>
        </w:rPr>
        <w:t>“[I]n new § 300.154(d)(2)(iv)(A)</w:t>
      </w:r>
      <w:r>
        <w:rPr>
          <w:rFonts w:eastAsia="Times New Roman" w:cs="Times New Roman"/>
          <w:color w:val="auto"/>
          <w:szCs w:val="20"/>
        </w:rPr>
        <w:t xml:space="preserve"> </w:t>
      </w:r>
      <w:r w:rsidRPr="008F6976">
        <w:rPr>
          <w:rFonts w:eastAsia="Times New Roman" w:cs="Times New Roman"/>
          <w:color w:val="auto"/>
          <w:szCs w:val="20"/>
        </w:rPr>
        <w:t>. . . the parental consent must meet the requirements in 34 CFR 99.30 and § 300.622 prior to accessing a child’s or parent’s public benefits or insurance for the first time. . . . [I]n new § 300.154(d)(2)(iv)(A)</w:t>
      </w:r>
      <w:r>
        <w:rPr>
          <w:rFonts w:eastAsia="Times New Roman" w:cs="Times New Roman"/>
          <w:color w:val="auto"/>
          <w:szCs w:val="20"/>
        </w:rPr>
        <w:t xml:space="preserve"> </w:t>
      </w:r>
      <w:r w:rsidRPr="008F6976">
        <w:rPr>
          <w:rFonts w:eastAsia="Times New Roman" w:cs="Times New Roman"/>
          <w:color w:val="auto"/>
          <w:szCs w:val="20"/>
        </w:rPr>
        <w:t>. . . such consent must specify the personally identifiable information that may be disclosed (e.g., records or information about the services that may be provided to a particular child), the purpose of the disclosure (e.g., billing for services under part 300), and the agency to which the disclosure may be made (e.g., the State’s public benefits or insurance program (e.g., Medicaid)). [The U.S. Department of Education] believe[s] these changes will clarify the parental consent that must be obtained under 34 CFR 99.30 and § 300.622 before a public agency discloses, for billing purposes, the child’s personally identifiable information to the agency responsible for the administration of the State’s public benefits or insurance program (e.g., Medicaid) prior to accessing a child’s or parent’s public benefits or insurance for the first time to pay for services required under part 300.”  78 Fed. Reg. 10526 (February 14, 2013).</w:t>
      </w:r>
    </w:p>
    <w:p w:rsidR="008F6976" w:rsidRPr="008F6976" w:rsidRDefault="008F6976" w:rsidP="008F6976">
      <w:pPr>
        <w:spacing w:after="0" w:line="240" w:lineRule="auto"/>
        <w:jc w:val="both"/>
        <w:rPr>
          <w:rFonts w:eastAsia="Times New Roman" w:cs="Times New Roman"/>
          <w:color w:val="auto"/>
          <w:szCs w:val="20"/>
        </w:rPr>
      </w:pPr>
    </w:p>
    <w:p w:rsidR="008F6976" w:rsidRPr="008F6976" w:rsidRDefault="008F6976" w:rsidP="008F6976">
      <w:pPr>
        <w:spacing w:after="0" w:line="240" w:lineRule="auto"/>
        <w:jc w:val="both"/>
        <w:rPr>
          <w:rFonts w:eastAsia="Times New Roman" w:cs="Times New Roman"/>
          <w:color w:val="auto"/>
          <w:szCs w:val="20"/>
        </w:rPr>
      </w:pPr>
      <w:r w:rsidRPr="008F6976">
        <w:rPr>
          <w:rFonts w:eastAsia="Times New Roman" w:cs="Times New Roman"/>
          <w:color w:val="auto"/>
          <w:szCs w:val="20"/>
        </w:rPr>
        <w:t xml:space="preserve">“To ensure that a parent fully understands that the purpose of the consent obtained under 34 CFR part 99 and § 300.622 is to enable the public agency to access the child’s or parent’s public benefits or insurance for the first time and in the future, [the U.S. Department of Education added] new § 300.154(d)(2)(iv)(B). This section provides that the consent to access public benefits or insurance must state that the parent understands and agrees that </w:t>
      </w:r>
      <w:r w:rsidRPr="008F6976">
        <w:rPr>
          <w:rFonts w:eastAsia="Times New Roman" w:cs="Times New Roman"/>
          <w:color w:val="auto"/>
          <w:szCs w:val="20"/>
        </w:rPr>
        <w:lastRenderedPageBreak/>
        <w:t>the public agency may access the child’s or parent’s public benefits or insurance to pay for services under part 300. . . . [T]o comply with the new parental consent requirement in final § 300.154(d)(2)(iv)(B), a public agency may add the specific statement included in new § 300.154(d)(2)(iv)(B) to the consent required under 34 CFR 99.30 and § 300.622 to release personally identifiable information to a public benefits or insurance program (e.g., Medicaid) for billing purposes, or it may choose to obtain this consent statement separately.”  78 Fed. Reg. 10526-10527 (February 14, 2013).</w:t>
      </w:r>
    </w:p>
    <w:p w:rsidR="008F6976" w:rsidRPr="008F6976" w:rsidRDefault="008F6976" w:rsidP="008F6976">
      <w:pPr>
        <w:spacing w:after="0" w:line="240" w:lineRule="auto"/>
        <w:jc w:val="both"/>
        <w:rPr>
          <w:rFonts w:eastAsia="Times New Roman" w:cs="Times New Roman"/>
          <w:color w:val="auto"/>
          <w:szCs w:val="20"/>
        </w:rPr>
      </w:pPr>
    </w:p>
    <w:p w:rsidR="008F6976" w:rsidRPr="008F6976" w:rsidRDefault="008F6976" w:rsidP="008F6976">
      <w:pPr>
        <w:spacing w:after="0" w:line="240" w:lineRule="auto"/>
        <w:jc w:val="both"/>
        <w:rPr>
          <w:rFonts w:eastAsia="Times New Roman" w:cs="Times New Roman"/>
          <w:color w:val="auto"/>
          <w:szCs w:val="20"/>
        </w:rPr>
      </w:pPr>
      <w:r w:rsidRPr="008F6976">
        <w:rPr>
          <w:rFonts w:eastAsia="Times New Roman" w:cs="Times New Roman"/>
          <w:color w:val="auto"/>
          <w:szCs w:val="20"/>
        </w:rPr>
        <w:t xml:space="preserve">“Further, to help ensure that a parent understands his or her rights when a public agency seeks to use or uses their or their child’s public benefits or insurance to pay for services under part 300 [the U.S. Department of Education is] also specifying in § 300.154(d)(2)(iv)(A) that the public agency must provide the written notification described in final § 300.154(d)(2)(v) . . </w:t>
      </w:r>
      <w:r w:rsidR="00212D0F">
        <w:rPr>
          <w:rFonts w:eastAsia="Times New Roman" w:cs="Times New Roman"/>
          <w:color w:val="auto"/>
          <w:szCs w:val="20"/>
        </w:rPr>
        <w:t xml:space="preserve">. </w:t>
      </w:r>
      <w:r w:rsidRPr="008F6976">
        <w:rPr>
          <w:rFonts w:eastAsia="Times New Roman" w:cs="Times New Roman"/>
          <w:color w:val="auto"/>
          <w:szCs w:val="20"/>
        </w:rPr>
        <w:t>before obtaining parental consent.”  78 Fed. Reg. 10527 (February 14, 2013).</w:t>
      </w:r>
    </w:p>
    <w:p w:rsidR="008F6976" w:rsidRPr="008F6976" w:rsidRDefault="008F6976" w:rsidP="008F6976">
      <w:pPr>
        <w:spacing w:after="0" w:line="240" w:lineRule="auto"/>
        <w:jc w:val="both"/>
        <w:rPr>
          <w:rFonts w:eastAsia="Times New Roman" w:cs="Times New Roman"/>
          <w:color w:val="auto"/>
          <w:szCs w:val="20"/>
        </w:rPr>
      </w:pPr>
    </w:p>
    <w:p w:rsidR="008F6976" w:rsidRPr="008F6976" w:rsidRDefault="008F6976" w:rsidP="008F6976">
      <w:pPr>
        <w:spacing w:after="0" w:line="240" w:lineRule="auto"/>
        <w:jc w:val="both"/>
        <w:rPr>
          <w:rFonts w:eastAsia="Times New Roman" w:cs="Times New Roman"/>
          <w:color w:val="auto"/>
          <w:szCs w:val="20"/>
        </w:rPr>
      </w:pPr>
      <w:r w:rsidRPr="008F6976">
        <w:rPr>
          <w:rFonts w:eastAsia="Times New Roman" w:cs="Times New Roman"/>
          <w:color w:val="auto"/>
          <w:szCs w:val="20"/>
        </w:rPr>
        <w:t>“Once the public agency obtains this one-time consent, the public agency will not be required to obtain any further parental consent in the future before it accesses the child’s or parent’s public benefits or insurance, regardless of whether there is any change in the type, amount, or cost of services to be billed to the public benefits or insurance program (e.g., Medicaid). However, the public agency will annually thereafter be required to provide parents with the written notification described in final § 300.154(d)(2)(v), to help ensure that parents understand their rights when a public agency uses their or their child’s public benefits or insurance to pay for services under part 300.” 78 Fed. Reg. 10527 (February 14, 2013).</w:t>
      </w:r>
    </w:p>
    <w:p w:rsidR="008F6976" w:rsidRPr="008F6976" w:rsidRDefault="008F6976" w:rsidP="008F6976">
      <w:pPr>
        <w:spacing w:after="0" w:line="240" w:lineRule="auto"/>
        <w:jc w:val="both"/>
        <w:rPr>
          <w:rFonts w:eastAsia="Times New Roman" w:cs="Times New Roman"/>
          <w:color w:val="auto"/>
          <w:szCs w:val="20"/>
        </w:rPr>
      </w:pPr>
    </w:p>
    <w:p w:rsidR="008F6976" w:rsidRPr="008F6976" w:rsidRDefault="008F6976" w:rsidP="008F6976">
      <w:pPr>
        <w:spacing w:after="0" w:line="240" w:lineRule="auto"/>
        <w:jc w:val="both"/>
        <w:rPr>
          <w:rFonts w:eastAsia="Times New Roman" w:cs="Times New Roman"/>
          <w:color w:val="auto"/>
          <w:szCs w:val="20"/>
        </w:rPr>
      </w:pPr>
      <w:r w:rsidRPr="008F6976">
        <w:rPr>
          <w:rFonts w:eastAsia="Times New Roman" w:cs="Times New Roman"/>
          <w:color w:val="auto"/>
          <w:szCs w:val="20"/>
        </w:rPr>
        <w:t>The U.S. Department of Education “believe[s] that the consent required by these final regulations is informed consent. Parents understand that they are consenting to enable the public agency to access their or their child’s public benefits or insurance (e.g., Medicaid) to pay for services under part 300.”  78 Fed. Reg. 10528 (February 14, 2013).</w:t>
      </w:r>
    </w:p>
    <w:p w:rsidR="008F6976" w:rsidRPr="008F6976" w:rsidRDefault="008F6976" w:rsidP="008F6976">
      <w:pPr>
        <w:spacing w:after="0" w:line="240" w:lineRule="auto"/>
        <w:jc w:val="both"/>
        <w:rPr>
          <w:rFonts w:eastAsia="Times New Roman" w:cs="Times New Roman"/>
          <w:color w:val="auto"/>
          <w:szCs w:val="20"/>
        </w:rPr>
      </w:pPr>
    </w:p>
    <w:p w:rsidR="008F6976" w:rsidRPr="008F6976" w:rsidRDefault="008F6976" w:rsidP="008F6976">
      <w:pPr>
        <w:spacing w:after="0" w:line="240" w:lineRule="auto"/>
        <w:jc w:val="both"/>
        <w:rPr>
          <w:rFonts w:eastAsia="Times New Roman" w:cs="Times New Roman"/>
          <w:color w:val="auto"/>
          <w:szCs w:val="20"/>
        </w:rPr>
      </w:pPr>
      <w:r w:rsidRPr="008F6976">
        <w:rPr>
          <w:rFonts w:eastAsia="Times New Roman" w:cs="Times New Roman"/>
          <w:color w:val="auto"/>
          <w:szCs w:val="20"/>
        </w:rPr>
        <w:t>“Under FERPA and section 617(c) of the Act, a public agency may not release personally identifiable information from a child’s education records to a public benefits or insurance program without prior parental consent, except for a few specified exceptions that do not include the release of education records for billing purposes. Therefore, final § 300.154(d)(2)(iv)(A) describes the parental consent that is required under 34 CFR 99.30 and § 300.622 before a public agency may release personally identifiable information from education records for billing purposes to a public benefits or insurance program prior to accessing a child’s or parent’s public benefits or insurance for the first time. We believe that these final regulations continue to protect a parent’s rights under FERPA and confidentiality rights under IDEA, and they address concerns from public agencies about costs and the administrative burden associated with obtaining parental consent each time access to public benefits insurance is sought.”  78 Fed. Reg. 10528 (February 14, 2013).  78 Fed. Reg. 10528 (February 14, 2013).</w:t>
      </w:r>
    </w:p>
    <w:p w:rsidR="008F6976" w:rsidRPr="008F6976" w:rsidRDefault="008F6976" w:rsidP="008F6976">
      <w:pPr>
        <w:spacing w:after="0" w:line="240" w:lineRule="auto"/>
        <w:jc w:val="both"/>
        <w:rPr>
          <w:rFonts w:eastAsia="Times New Roman" w:cs="Times New Roman"/>
          <w:color w:val="auto"/>
          <w:szCs w:val="20"/>
        </w:rPr>
      </w:pPr>
    </w:p>
    <w:p w:rsidR="008F6976" w:rsidRPr="008F6976" w:rsidRDefault="008F6976" w:rsidP="008F6976">
      <w:pPr>
        <w:spacing w:after="0" w:line="240" w:lineRule="auto"/>
        <w:jc w:val="both"/>
        <w:rPr>
          <w:rFonts w:eastAsia="Times New Roman" w:cs="Times New Roman"/>
          <w:color w:val="auto"/>
          <w:szCs w:val="20"/>
        </w:rPr>
      </w:pPr>
      <w:r w:rsidRPr="008F6976">
        <w:rPr>
          <w:rFonts w:eastAsia="Times New Roman" w:cs="Times New Roman"/>
          <w:color w:val="auto"/>
          <w:szCs w:val="20"/>
        </w:rPr>
        <w:t xml:space="preserve">“Under § 300.323(e) through (g), States must have policies and procedures in effect to govern [individualized education programs] IEPs for students who transfer from one public agency to another, and we believe that those policies and procedures could address the parental consent and written notification requirements that apply to accessing public benefits or insurance for billing purposes for services required under </w:t>
      </w:r>
      <w:proofErr w:type="spellStart"/>
      <w:r w:rsidRPr="008F6976">
        <w:rPr>
          <w:rFonts w:eastAsia="Times New Roman" w:cs="Times New Roman"/>
          <w:color w:val="auto"/>
          <w:szCs w:val="20"/>
        </w:rPr>
        <w:t>part</w:t>
      </w:r>
      <w:proofErr w:type="spellEnd"/>
      <w:r w:rsidRPr="008F6976">
        <w:rPr>
          <w:rFonts w:eastAsia="Times New Roman" w:cs="Times New Roman"/>
          <w:color w:val="auto"/>
          <w:szCs w:val="20"/>
        </w:rPr>
        <w:t xml:space="preserve"> 300 for children who relocate to another public agency or another State.  The responsibility for obtaining parental consent prior to the disclosure of personally identifiable information for billing purposes and before accessing a child’s or parent’s public benefits or insurance for the </w:t>
      </w:r>
      <w:proofErr w:type="gramStart"/>
      <w:r w:rsidRPr="008F6976">
        <w:rPr>
          <w:rFonts w:eastAsia="Times New Roman" w:cs="Times New Roman"/>
          <w:color w:val="auto"/>
          <w:szCs w:val="20"/>
        </w:rPr>
        <w:t>first time</w:t>
      </w:r>
      <w:proofErr w:type="gramEnd"/>
      <w:r w:rsidRPr="008F6976">
        <w:rPr>
          <w:rFonts w:eastAsia="Times New Roman" w:cs="Times New Roman"/>
          <w:color w:val="auto"/>
          <w:szCs w:val="20"/>
        </w:rPr>
        <w:t xml:space="preserve"> rests with the public agency responsible for providing a free appropriate public education (FAPE) to the child, not with the </w:t>
      </w:r>
      <w:r w:rsidRPr="008F6976">
        <w:rPr>
          <w:rFonts w:eastAsia="Times New Roman" w:cs="Times New Roman"/>
          <w:color w:val="auto"/>
          <w:szCs w:val="20"/>
        </w:rPr>
        <w:lastRenderedPageBreak/>
        <w:t>individual school.  Thus, if a child who had an IEP in effect in a previous public agency transfers to a school in a new public agency in the same school year, whether or not within the same State, the new public agency would need to obtain a new parental consent under new § 300.154(d)(2)(iv)(A)–(B) before it can access the child’s or parent’s public benefits or insurance for the first time to pay for services under part 300. This new parental consent is to enable the new public agency to release the child’s personally identifiable information for billing purposes to the public benefits or insurance program (e.g., Medicaid).  Consistent with new § 300.154(d)(2)(iv)(B), the consent also must specify that the parent understands and agrees that the new public agency may access the child’s or parent’s public benefits or insurance to pay for services under part 300. Likewise, in these transfer situations, the new public agency must provide the child’s parents with the written notification described in final</w:t>
      </w:r>
      <w:r w:rsidR="00B44EC1">
        <w:rPr>
          <w:rFonts w:eastAsia="Times New Roman" w:cs="Times New Roman"/>
          <w:color w:val="auto"/>
          <w:szCs w:val="20"/>
        </w:rPr>
        <w:t xml:space="preserve"> </w:t>
      </w:r>
      <w:r w:rsidRPr="008F6976">
        <w:rPr>
          <w:rFonts w:eastAsia="Times New Roman" w:cs="Times New Roman"/>
          <w:color w:val="auto"/>
          <w:szCs w:val="20"/>
        </w:rPr>
        <w:t>§ 300.154(d)(2)(v) prior to obtaining parental consent for that agency to access the child’s or parent’s public benefits or insurance for the first time.  Further, the new public agency must provide this written notification to the child’s parents annually thereafter.  However, if a child transfers to a different school but remains within the same public agency, any parental consent that the public agency has previously obtained that meets the requirements in new § 300.154(d)(2)(iv)(A)–(B) would continue to apply.”  78 Fed. Reg. 10529 (February 14, 2013).</w:t>
      </w:r>
    </w:p>
    <w:p w:rsidR="008F6976" w:rsidRPr="008F6976" w:rsidRDefault="008F6976" w:rsidP="008F6976">
      <w:pPr>
        <w:spacing w:after="0" w:line="240" w:lineRule="auto"/>
        <w:jc w:val="both"/>
        <w:rPr>
          <w:rFonts w:eastAsia="Times New Roman" w:cs="Times New Roman"/>
          <w:color w:val="auto"/>
          <w:szCs w:val="20"/>
        </w:rPr>
      </w:pPr>
    </w:p>
    <w:p w:rsidR="008F6976" w:rsidRPr="008F6976" w:rsidRDefault="008F6976" w:rsidP="008F6976">
      <w:pPr>
        <w:spacing w:after="0" w:line="240" w:lineRule="auto"/>
        <w:jc w:val="both"/>
        <w:rPr>
          <w:rFonts w:eastAsia="Times New Roman" w:cs="Times New Roman"/>
          <w:color w:val="auto"/>
          <w:szCs w:val="20"/>
        </w:rPr>
      </w:pPr>
      <w:r w:rsidRPr="008F6976">
        <w:rPr>
          <w:rFonts w:eastAsia="Times New Roman" w:cs="Times New Roman"/>
          <w:color w:val="auto"/>
          <w:szCs w:val="20"/>
        </w:rPr>
        <w:t>“There are a number of ways in which the public agency may provide the written notification to parents. The annual written notification may be mailed to the parents, provided at an IEP Team meeting if it occurs prior to the first time a public agency accesses a child’s or parent’s public benefits or insurance, or provided through other means determined by the public agency, so long as all of the written notification requirements in these final regulations are met, including the requirement in § 300.154(d)(2)(v) that the public agency provide written notification before obtaining parental consent under new § 300.154(d)(2)(iv).”  78 Fed. Reg. 10530 (February 14, 2013).</w:t>
      </w:r>
    </w:p>
    <w:p w:rsidR="008F6976" w:rsidRPr="008F6976" w:rsidRDefault="008F6976" w:rsidP="008F6976">
      <w:pPr>
        <w:spacing w:after="0" w:line="240" w:lineRule="auto"/>
        <w:jc w:val="both"/>
        <w:rPr>
          <w:rFonts w:eastAsia="Times New Roman" w:cs="Times New Roman"/>
          <w:color w:val="auto"/>
          <w:szCs w:val="20"/>
        </w:rPr>
      </w:pPr>
    </w:p>
    <w:p w:rsidR="008F6976" w:rsidRPr="008F6976" w:rsidRDefault="008F6976" w:rsidP="008F6976">
      <w:pPr>
        <w:spacing w:after="0" w:line="240" w:lineRule="auto"/>
        <w:jc w:val="both"/>
        <w:rPr>
          <w:rFonts w:eastAsia="Times New Roman" w:cs="Times New Roman"/>
          <w:color w:val="auto"/>
          <w:szCs w:val="20"/>
        </w:rPr>
      </w:pPr>
      <w:r w:rsidRPr="008F6976">
        <w:rPr>
          <w:rFonts w:eastAsia="Times New Roman" w:cs="Times New Roman"/>
          <w:color w:val="auto"/>
          <w:szCs w:val="20"/>
        </w:rPr>
        <w:t>The U.S. Department of Education “decline[s] to specify in the regulations when subsequent annual written notifications must be provided to parents because we believe that once the public agency provides the child’s parents the written notification described in final §</w:t>
      </w:r>
      <w:r>
        <w:rPr>
          <w:rFonts w:eastAsia="Times New Roman" w:cs="Times New Roman"/>
          <w:color w:val="auto"/>
          <w:szCs w:val="20"/>
        </w:rPr>
        <w:t> </w:t>
      </w:r>
      <w:r w:rsidRPr="008F6976">
        <w:rPr>
          <w:rFonts w:eastAsia="Times New Roman" w:cs="Times New Roman"/>
          <w:color w:val="auto"/>
          <w:szCs w:val="20"/>
        </w:rPr>
        <w:t>300.154(d)(2)(v) prior to accessing the child’s or parent’s public benefits or insurance for the first time, public agencies need to have the flexibility to determine the timing of subsequent annual written notifications.”  78 Fed. Reg. 10530 (February 14, 2013).</w:t>
      </w:r>
    </w:p>
    <w:p w:rsidR="008F6976" w:rsidRPr="008F6976" w:rsidRDefault="008F6976" w:rsidP="008F6976">
      <w:pPr>
        <w:spacing w:after="0" w:line="240" w:lineRule="auto"/>
        <w:jc w:val="both"/>
        <w:rPr>
          <w:rFonts w:eastAsia="Times New Roman" w:cs="Times New Roman"/>
          <w:color w:val="auto"/>
          <w:szCs w:val="20"/>
        </w:rPr>
      </w:pPr>
    </w:p>
    <w:p w:rsidR="008F6976" w:rsidRPr="008F6976" w:rsidRDefault="008F6976" w:rsidP="008F6976">
      <w:pPr>
        <w:spacing w:after="0" w:line="240" w:lineRule="auto"/>
        <w:jc w:val="both"/>
        <w:rPr>
          <w:rFonts w:eastAsia="Times New Roman" w:cs="Times New Roman"/>
          <w:color w:val="auto"/>
          <w:szCs w:val="20"/>
        </w:rPr>
      </w:pPr>
      <w:r w:rsidRPr="008F6976">
        <w:rPr>
          <w:rFonts w:eastAsia="Times New Roman" w:cs="Times New Roman"/>
          <w:color w:val="auto"/>
          <w:szCs w:val="20"/>
        </w:rPr>
        <w:t xml:space="preserve">“FERPA and IDEA do not include specific provisions regarding the process for withdrawal of consent for the disclosure of a child’s personally identifiable information; therefore, we are deferring to LEAs on procedures for withdrawal of this parental consent.  However, once the parent withdraws consent under 34 CFR part 99 and part 300 to the disclosure of the child’s personally identifiable information to the agency responsible for the administration of the State’s public benefits or insurance program (e.g., Medicaid), the public agency responsible for providing FAPE to the child with a disability may no longer bill the public benefits or insurance program (e.g., Medicaid) to pay for services under part 300. The public agency must nevertheless continue to provide the child with all services required under </w:t>
      </w:r>
      <w:proofErr w:type="spellStart"/>
      <w:r w:rsidRPr="008F6976">
        <w:rPr>
          <w:rFonts w:eastAsia="Times New Roman" w:cs="Times New Roman"/>
          <w:color w:val="auto"/>
          <w:szCs w:val="20"/>
        </w:rPr>
        <w:t>part</w:t>
      </w:r>
      <w:proofErr w:type="spellEnd"/>
      <w:r w:rsidRPr="008F6976">
        <w:rPr>
          <w:rFonts w:eastAsia="Times New Roman" w:cs="Times New Roman"/>
          <w:color w:val="auto"/>
          <w:szCs w:val="20"/>
        </w:rPr>
        <w:t xml:space="preserve"> 300 at no cost to the parents.” 78 Fed. Reg. 10531 (February 14, 2013).</w:t>
      </w:r>
    </w:p>
    <w:p w:rsidR="00C6562F" w:rsidRPr="008F6976" w:rsidRDefault="00C6562F" w:rsidP="00C6562F">
      <w:pPr>
        <w:spacing w:after="0" w:line="240" w:lineRule="auto"/>
        <w:jc w:val="both"/>
        <w:rPr>
          <w:rFonts w:eastAsia="Times New Roman" w:cs="Times New Roman"/>
          <w:color w:val="auto"/>
          <w:szCs w:val="20"/>
        </w:rPr>
      </w:pPr>
    </w:p>
    <w:p w:rsidR="00470F29" w:rsidRDefault="00470F29" w:rsidP="00470F29">
      <w:pPr>
        <w:spacing w:after="0" w:line="240" w:lineRule="auto"/>
        <w:jc w:val="both"/>
        <w:rPr>
          <w:rFonts w:eastAsia="Times New Roman" w:cs="Tahoma"/>
          <w:b/>
          <w:color w:val="000000"/>
          <w:szCs w:val="20"/>
          <w:u w:val="single"/>
        </w:rPr>
      </w:pPr>
      <w:r w:rsidRPr="008B39BE">
        <w:rPr>
          <w:rFonts w:eastAsia="Times New Roman" w:cs="Tahoma"/>
          <w:b/>
          <w:color w:val="000000"/>
          <w:szCs w:val="20"/>
          <w:u w:val="single"/>
        </w:rPr>
        <w:t>Application Guidance</w:t>
      </w:r>
    </w:p>
    <w:p w:rsidR="00470F29" w:rsidRPr="008B39BE" w:rsidRDefault="00470F29" w:rsidP="00470F29">
      <w:pPr>
        <w:spacing w:after="0" w:line="240" w:lineRule="auto"/>
        <w:jc w:val="both"/>
        <w:rPr>
          <w:rFonts w:eastAsia="Times New Roman" w:cs="Tahoma"/>
          <w:color w:val="000000"/>
          <w:szCs w:val="20"/>
        </w:rPr>
      </w:pPr>
    </w:p>
    <w:p w:rsidR="00DA64F9" w:rsidRPr="00F52204" w:rsidRDefault="00802E00" w:rsidP="00DA64F9">
      <w:pPr>
        <w:numPr>
          <w:ilvl w:val="0"/>
          <w:numId w:val="22"/>
        </w:numPr>
        <w:spacing w:after="0" w:line="240" w:lineRule="auto"/>
        <w:jc w:val="both"/>
        <w:rPr>
          <w:b/>
          <w:szCs w:val="20"/>
          <w:u w:val="single"/>
        </w:rPr>
      </w:pPr>
      <w:hyperlink r:id="rId9" w:history="1">
        <w:r w:rsidR="00DA64F9" w:rsidRPr="008C1C40">
          <w:rPr>
            <w:rStyle w:val="Hyperlink"/>
            <w:szCs w:val="20"/>
          </w:rPr>
          <w:t>School Health and Related Services</w:t>
        </w:r>
      </w:hyperlink>
      <w:r w:rsidR="00DA64F9">
        <w:rPr>
          <w:szCs w:val="20"/>
        </w:rPr>
        <w:t xml:space="preserve"> (TEA)</w:t>
      </w:r>
    </w:p>
    <w:p w:rsidR="00DA64F9" w:rsidRDefault="00802E00" w:rsidP="00DA64F9">
      <w:pPr>
        <w:numPr>
          <w:ilvl w:val="0"/>
          <w:numId w:val="22"/>
        </w:numPr>
        <w:spacing w:after="0" w:line="240" w:lineRule="auto"/>
        <w:jc w:val="both"/>
        <w:rPr>
          <w:szCs w:val="20"/>
        </w:rPr>
      </w:pPr>
      <w:hyperlink r:id="rId10" w:history="1">
        <w:r w:rsidR="00DA64F9" w:rsidRPr="00211637">
          <w:rPr>
            <w:rStyle w:val="Hyperlink"/>
            <w:szCs w:val="20"/>
          </w:rPr>
          <w:t>Non-Regulatory Guidance on the IDEA Part B Regulations Regarding Parental Consent for the Use of Public Benefits or Insurance to Pay for Services under the IDEA, Issued February 14, 2013, and Effective March 18, 2013</w:t>
        </w:r>
      </w:hyperlink>
      <w:r w:rsidR="00DA64F9">
        <w:rPr>
          <w:szCs w:val="20"/>
        </w:rPr>
        <w:t xml:space="preserve"> (USDE) </w:t>
      </w:r>
    </w:p>
    <w:p w:rsidR="00DA64F9" w:rsidRPr="00F52204" w:rsidRDefault="00802E00" w:rsidP="00DA64F9">
      <w:pPr>
        <w:numPr>
          <w:ilvl w:val="0"/>
          <w:numId w:val="22"/>
        </w:numPr>
        <w:spacing w:after="0" w:line="240" w:lineRule="auto"/>
        <w:jc w:val="both"/>
        <w:rPr>
          <w:szCs w:val="20"/>
        </w:rPr>
      </w:pPr>
      <w:hyperlink r:id="rId11" w:history="1">
        <w:r w:rsidR="00DA64F9" w:rsidRPr="00F52204">
          <w:rPr>
            <w:rStyle w:val="Hyperlink"/>
            <w:szCs w:val="20"/>
          </w:rPr>
          <w:t>OSERS Memorandum to State Directors of Special Education (June 11, 2013)-IDEA Part B Written Notification Regarding Use of Public Benefits or Insurance</w:t>
        </w:r>
      </w:hyperlink>
      <w:r w:rsidR="00DA64F9">
        <w:rPr>
          <w:szCs w:val="20"/>
        </w:rPr>
        <w:t xml:space="preserve"> (USDE)</w:t>
      </w:r>
    </w:p>
    <w:p w:rsidR="00DA64F9" w:rsidRDefault="00DA64F9" w:rsidP="006E3F0A">
      <w:pPr>
        <w:spacing w:after="0" w:line="240" w:lineRule="auto"/>
        <w:jc w:val="both"/>
        <w:rPr>
          <w:rFonts w:eastAsia="Times New Roman" w:cs="Times New Roman"/>
          <w:color w:val="auto"/>
          <w:szCs w:val="20"/>
        </w:rPr>
      </w:pPr>
    </w:p>
    <w:p w:rsidR="00DA64F9" w:rsidRPr="00DA64F9" w:rsidRDefault="00DA64F9" w:rsidP="00DA64F9">
      <w:pPr>
        <w:spacing w:after="0" w:line="240" w:lineRule="auto"/>
        <w:jc w:val="both"/>
        <w:rPr>
          <w:rFonts w:eastAsia="Times New Roman" w:cs="Times New Roman"/>
          <w:color w:val="auto"/>
          <w:szCs w:val="20"/>
        </w:rPr>
      </w:pPr>
      <w:r w:rsidRPr="00DA64F9">
        <w:rPr>
          <w:rFonts w:eastAsia="Times New Roman" w:cs="Times New Roman"/>
          <w:color w:val="auto"/>
          <w:szCs w:val="20"/>
        </w:rPr>
        <w:t xml:space="preserve">Through the implementation of the </w:t>
      </w:r>
      <w:r w:rsidR="00375C63" w:rsidRPr="00D90330">
        <w:rPr>
          <w:rFonts w:eastAsia="Times New Roman" w:cs="Times New Roman"/>
          <w:color w:val="auto"/>
          <w:szCs w:val="20"/>
        </w:rPr>
        <w:t>member district</w:t>
      </w:r>
      <w:r w:rsidRPr="00DA64F9">
        <w:rPr>
          <w:rFonts w:eastAsia="Times New Roman" w:cs="Times New Roman"/>
          <w:color w:val="auto"/>
          <w:szCs w:val="20"/>
        </w:rPr>
        <w:t xml:space="preserve"> policies and procedures as outlined in </w:t>
      </w:r>
      <w:r w:rsidRPr="004E2A26">
        <w:rPr>
          <w:rFonts w:eastAsia="Times New Roman" w:cs="Times New Roman"/>
          <w:color w:val="auto"/>
          <w:szCs w:val="20"/>
        </w:rPr>
        <w:t xml:space="preserve">the </w:t>
      </w:r>
      <w:hyperlink r:id="rId12" w:history="1">
        <w:r w:rsidRPr="00C6562F">
          <w:rPr>
            <w:rStyle w:val="Hyperlink"/>
            <w:rFonts w:eastAsia="Times New Roman" w:cs="Times New Roman"/>
            <w:szCs w:val="20"/>
          </w:rPr>
          <w:t>Legal Framework</w:t>
        </w:r>
      </w:hyperlink>
      <w:r w:rsidRPr="00DA64F9">
        <w:rPr>
          <w:rFonts w:eastAsia="Times New Roman" w:cs="Times New Roman"/>
          <w:color w:val="auto"/>
          <w:szCs w:val="20"/>
        </w:rPr>
        <w:t xml:space="preserve"> for the Child-Centered Special Education Process, the </w:t>
      </w:r>
      <w:r w:rsidR="00375C63" w:rsidRPr="00D90330">
        <w:rPr>
          <w:rFonts w:eastAsia="Times New Roman" w:cs="Times New Roman"/>
          <w:color w:val="auto"/>
          <w:szCs w:val="20"/>
        </w:rPr>
        <w:t>member district</w:t>
      </w:r>
      <w:r w:rsidRPr="00DA64F9">
        <w:rPr>
          <w:rFonts w:eastAsia="Times New Roman" w:cs="Times New Roman"/>
          <w:color w:val="auto"/>
          <w:szCs w:val="20"/>
        </w:rPr>
        <w:t xml:space="preserve"> ensures that prior to accessing a child’s public insurance benefits such as Medicaid, informed written consent will be obtained in conformance with the IDEA and its accompanying federal regulations, state statutes and regulations.</w:t>
      </w:r>
    </w:p>
    <w:p w:rsidR="00E21132" w:rsidRPr="002045E8" w:rsidRDefault="00E21132" w:rsidP="006E3F0A">
      <w:pPr>
        <w:spacing w:after="0" w:line="240" w:lineRule="auto"/>
        <w:jc w:val="both"/>
        <w:rPr>
          <w:rFonts w:eastAsia="Times New Roman" w:cs="Times New Roman"/>
          <w:color w:val="auto"/>
          <w:szCs w:val="20"/>
        </w:rPr>
      </w:pPr>
    </w:p>
    <w:p w:rsidR="00DB231F" w:rsidRDefault="00802E00" w:rsidP="009415A3">
      <w:pPr>
        <w:spacing w:after="0" w:line="240" w:lineRule="auto"/>
        <w:rPr>
          <w:szCs w:val="20"/>
        </w:rPr>
      </w:pPr>
      <w:r>
        <w:rPr>
          <w:szCs w:val="20"/>
        </w:rPr>
        <w:pict>
          <v:rect id="_x0000_i1025" style="width:468pt;height:3pt" o:hralign="center" o:hrstd="t" o:hrnoshade="t" o:hr="t" fillcolor="#0f3966 [3204]" stroked="f"/>
        </w:pict>
      </w:r>
    </w:p>
    <w:p w:rsidR="0071445F" w:rsidRPr="00974C7F" w:rsidRDefault="00C5353A" w:rsidP="00C5353A">
      <w:pPr>
        <w:spacing w:after="0" w:line="240" w:lineRule="auto"/>
        <w:rPr>
          <w:iCs/>
          <w:color w:val="auto"/>
          <w:szCs w:val="20"/>
          <w:shd w:val="clear" w:color="auto" w:fill="FFFFFF"/>
        </w:rPr>
      </w:pPr>
      <w:r w:rsidRPr="00974C7F">
        <w:rPr>
          <w:iCs/>
          <w:color w:val="auto"/>
          <w:szCs w:val="20"/>
          <w:shd w:val="clear" w:color="auto" w:fill="FFFFFF"/>
        </w:rPr>
        <w:t xml:space="preserve">Informed parental consent may be obtained one time for the specific services and duration of services identified in a child’s IEP. The </w:t>
      </w:r>
      <w:r w:rsidR="00375C63" w:rsidRPr="00974C7F">
        <w:rPr>
          <w:iCs/>
          <w:color w:val="auto"/>
          <w:szCs w:val="20"/>
          <w:shd w:val="clear" w:color="auto" w:fill="FFFFFF"/>
        </w:rPr>
        <w:t>district</w:t>
      </w:r>
      <w:r w:rsidRPr="00974C7F">
        <w:rPr>
          <w:iCs/>
          <w:color w:val="auto"/>
          <w:szCs w:val="20"/>
          <w:shd w:val="clear" w:color="auto" w:fill="FFFFFF"/>
        </w:rPr>
        <w:t xml:space="preserve"> is not required to obtain a separate consent each time a Medicaid agency or other public insurer or public program is billed for the provision of required services. (OSEP Memorandum to State Directors May 3, 2007)</w:t>
      </w:r>
    </w:p>
    <w:p w:rsidR="0071445F" w:rsidRPr="00974C7F" w:rsidRDefault="0071445F" w:rsidP="00C5353A">
      <w:pPr>
        <w:spacing w:after="0" w:line="240" w:lineRule="auto"/>
        <w:rPr>
          <w:iCs/>
          <w:color w:val="auto"/>
          <w:szCs w:val="20"/>
          <w:shd w:val="clear" w:color="auto" w:fill="FFFFFF"/>
        </w:rPr>
      </w:pPr>
    </w:p>
    <w:p w:rsidR="0071445F" w:rsidRPr="00974C7F" w:rsidRDefault="00100CDB" w:rsidP="00100CDB">
      <w:pPr>
        <w:spacing w:after="0" w:line="240" w:lineRule="auto"/>
        <w:rPr>
          <w:rFonts w:cs="Calibri"/>
          <w:b/>
          <w:color w:val="auto"/>
          <w:szCs w:val="20"/>
        </w:rPr>
      </w:pPr>
      <w:r w:rsidRPr="00974C7F">
        <w:rPr>
          <w:rFonts w:cs="Calibri"/>
          <w:b/>
          <w:bCs/>
          <w:color w:val="auto"/>
          <w:szCs w:val="20"/>
        </w:rPr>
        <w:t>Staff Responsible</w:t>
      </w:r>
      <w:r w:rsidR="0071445F" w:rsidRPr="00974C7F">
        <w:rPr>
          <w:rFonts w:cs="Calibri"/>
          <w:b/>
          <w:color w:val="auto"/>
          <w:szCs w:val="20"/>
        </w:rPr>
        <w:t>:</w:t>
      </w:r>
    </w:p>
    <w:p w:rsidR="0071445F" w:rsidRPr="00974C7F" w:rsidRDefault="0071445F" w:rsidP="0071445F">
      <w:pPr>
        <w:spacing w:after="120" w:line="240" w:lineRule="auto"/>
        <w:ind w:firstLine="720"/>
        <w:contextualSpacing/>
        <w:rPr>
          <w:rFonts w:cs="Calibri"/>
          <w:color w:val="auto"/>
          <w:szCs w:val="20"/>
        </w:rPr>
      </w:pPr>
      <w:r w:rsidRPr="00974C7F">
        <w:rPr>
          <w:rFonts w:cs="Calibri"/>
          <w:b/>
          <w:color w:val="auto"/>
          <w:szCs w:val="20"/>
        </w:rPr>
        <w:t xml:space="preserve">District Level: </w:t>
      </w:r>
      <w:r w:rsidRPr="00974C7F">
        <w:rPr>
          <w:rFonts w:cs="Calibri"/>
          <w:color w:val="auto"/>
          <w:szCs w:val="20"/>
        </w:rPr>
        <w:t>Superinten</w:t>
      </w:r>
      <w:r w:rsidR="00B11C91">
        <w:rPr>
          <w:rFonts w:cs="Calibri"/>
          <w:color w:val="auto"/>
          <w:szCs w:val="20"/>
        </w:rPr>
        <w:t xml:space="preserve">dent </w:t>
      </w:r>
    </w:p>
    <w:p w:rsidR="0071445F" w:rsidRPr="00974C7F" w:rsidRDefault="0071445F" w:rsidP="0071445F">
      <w:pPr>
        <w:spacing w:after="120" w:line="240" w:lineRule="auto"/>
        <w:ind w:firstLine="720"/>
        <w:contextualSpacing/>
        <w:rPr>
          <w:rFonts w:cs="Calibri"/>
          <w:color w:val="auto"/>
          <w:szCs w:val="20"/>
        </w:rPr>
      </w:pPr>
      <w:r w:rsidRPr="00974C7F">
        <w:rPr>
          <w:rFonts w:cs="Calibri"/>
          <w:b/>
          <w:color w:val="auto"/>
          <w:szCs w:val="20"/>
        </w:rPr>
        <w:t>Campus Level:</w:t>
      </w:r>
      <w:r w:rsidRPr="00974C7F">
        <w:rPr>
          <w:rFonts w:cs="Calibri"/>
          <w:color w:val="auto"/>
          <w:szCs w:val="20"/>
        </w:rPr>
        <w:t xml:space="preserve"> Principal, Counselor, SHARS Coordinator </w:t>
      </w:r>
    </w:p>
    <w:p w:rsidR="0071445F" w:rsidRPr="00974C7F" w:rsidRDefault="0071445F" w:rsidP="0071445F">
      <w:pPr>
        <w:spacing w:after="120" w:line="240" w:lineRule="auto"/>
        <w:contextualSpacing/>
        <w:rPr>
          <w:rFonts w:cs="Calibri"/>
          <w:color w:val="auto"/>
          <w:szCs w:val="20"/>
        </w:rPr>
      </w:pPr>
    </w:p>
    <w:p w:rsidR="0071445F" w:rsidRPr="00974C7F" w:rsidRDefault="0071445F" w:rsidP="00100CDB">
      <w:pPr>
        <w:spacing w:after="0" w:line="240" w:lineRule="auto"/>
        <w:contextualSpacing/>
        <w:rPr>
          <w:rFonts w:cs="Calibri"/>
          <w:b/>
          <w:bCs/>
          <w:color w:val="auto"/>
          <w:szCs w:val="20"/>
        </w:rPr>
      </w:pPr>
      <w:r w:rsidRPr="00974C7F">
        <w:rPr>
          <w:rFonts w:cs="Calibri"/>
          <w:b/>
          <w:bCs/>
          <w:color w:val="auto"/>
          <w:szCs w:val="20"/>
        </w:rPr>
        <w:t>T</w:t>
      </w:r>
      <w:r w:rsidR="00100CDB" w:rsidRPr="00974C7F">
        <w:rPr>
          <w:rFonts w:cs="Calibri"/>
          <w:b/>
          <w:bCs/>
          <w:color w:val="auto"/>
          <w:szCs w:val="20"/>
        </w:rPr>
        <w:t>imelines</w:t>
      </w:r>
      <w:r w:rsidRPr="00974C7F">
        <w:rPr>
          <w:rFonts w:cs="Calibri"/>
          <w:b/>
          <w:bCs/>
          <w:color w:val="auto"/>
          <w:szCs w:val="20"/>
        </w:rPr>
        <w:t>:</w:t>
      </w:r>
    </w:p>
    <w:p w:rsidR="0071445F" w:rsidRPr="00974C7F" w:rsidRDefault="0071445F" w:rsidP="0071445F">
      <w:pPr>
        <w:pStyle w:val="ListParagraph"/>
        <w:numPr>
          <w:ilvl w:val="0"/>
          <w:numId w:val="25"/>
        </w:numPr>
        <w:spacing w:after="120" w:line="240" w:lineRule="auto"/>
        <w:rPr>
          <w:rFonts w:cs="Calibri"/>
          <w:b/>
          <w:bCs/>
          <w:color w:val="auto"/>
          <w:szCs w:val="20"/>
        </w:rPr>
      </w:pPr>
      <w:r w:rsidRPr="00974C7F">
        <w:rPr>
          <w:color w:val="auto"/>
        </w:rPr>
        <w:t>Prior to accessing the child's or the parent's public benefits or insurance for the first time</w:t>
      </w:r>
    </w:p>
    <w:p w:rsidR="0071445F" w:rsidRPr="00974C7F" w:rsidRDefault="00100CDB" w:rsidP="00100CDB">
      <w:pPr>
        <w:spacing w:after="0" w:line="240" w:lineRule="auto"/>
        <w:contextualSpacing/>
        <w:rPr>
          <w:rFonts w:cs="Calibri"/>
          <w:bCs/>
          <w:color w:val="auto"/>
          <w:szCs w:val="20"/>
        </w:rPr>
      </w:pPr>
      <w:r w:rsidRPr="00974C7F">
        <w:rPr>
          <w:rFonts w:cs="Calibri"/>
          <w:b/>
          <w:color w:val="auto"/>
          <w:szCs w:val="20"/>
        </w:rPr>
        <w:t>Evidence of Practice</w:t>
      </w:r>
      <w:r w:rsidR="0071445F" w:rsidRPr="00974C7F">
        <w:rPr>
          <w:rFonts w:cs="Calibri"/>
          <w:b/>
          <w:color w:val="auto"/>
          <w:szCs w:val="20"/>
        </w:rPr>
        <w:t>:</w:t>
      </w:r>
    </w:p>
    <w:p w:rsidR="0071445F" w:rsidRPr="00974C7F" w:rsidRDefault="0071445F" w:rsidP="0071445F">
      <w:pPr>
        <w:pStyle w:val="ListParagraph"/>
        <w:numPr>
          <w:ilvl w:val="0"/>
          <w:numId w:val="24"/>
        </w:numPr>
        <w:spacing w:after="120" w:line="240" w:lineRule="auto"/>
        <w:rPr>
          <w:rFonts w:cs="Calibri"/>
          <w:bCs/>
          <w:color w:val="auto"/>
          <w:szCs w:val="20"/>
        </w:rPr>
      </w:pPr>
      <w:r w:rsidRPr="00974C7F">
        <w:rPr>
          <w:rFonts w:cs="Calibri"/>
          <w:bCs/>
          <w:color w:val="auto"/>
          <w:szCs w:val="20"/>
        </w:rPr>
        <w:t>District Forms</w:t>
      </w:r>
    </w:p>
    <w:sectPr w:rsidR="0071445F" w:rsidRPr="00974C7F" w:rsidSect="00A15E59">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E00" w:rsidRDefault="00802E00">
      <w:pPr>
        <w:spacing w:after="0" w:line="240" w:lineRule="auto"/>
      </w:pPr>
      <w:r>
        <w:separator/>
      </w:r>
    </w:p>
  </w:endnote>
  <w:endnote w:type="continuationSeparator" w:id="0">
    <w:p w:rsidR="00802E00" w:rsidRDefault="00802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2" w:rsidRDefault="00712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91"/>
      <w:gridCol w:w="6069"/>
    </w:tblGrid>
    <w:tr w:rsidR="00A15E59" w:rsidRPr="00CD22C5" w:rsidTr="00092084">
      <w:trPr>
        <w:trHeight w:val="300"/>
        <w:jc w:val="center"/>
      </w:trPr>
      <w:tc>
        <w:tcPr>
          <w:tcW w:w="3348" w:type="dxa"/>
          <w:vAlign w:val="center"/>
        </w:tcPr>
        <w:p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3A3046">
            <w:rPr>
              <w:b w:val="0"/>
              <w:sz w:val="16"/>
              <w:szCs w:val="16"/>
            </w:rPr>
            <w:t>Procedures</w:t>
          </w:r>
        </w:p>
      </w:tc>
      <w:tc>
        <w:tcPr>
          <w:tcW w:w="6228" w:type="dxa"/>
          <w:vAlign w:val="center"/>
        </w:tcPr>
        <w:p w:rsidR="00A15E59" w:rsidRPr="009A1B8F" w:rsidRDefault="00DA64F9" w:rsidP="00DA64F9">
          <w:pPr>
            <w:pStyle w:val="Footer"/>
            <w:tabs>
              <w:tab w:val="left" w:pos="1260"/>
            </w:tabs>
            <w:jc w:val="right"/>
            <w:rPr>
              <w:sz w:val="16"/>
              <w:szCs w:val="16"/>
            </w:rPr>
          </w:pPr>
          <w:r>
            <w:rPr>
              <w:sz w:val="16"/>
              <w:szCs w:val="16"/>
            </w:rPr>
            <w:t>CONSENT TO ACCESS PUBLIC BENEFITS</w:t>
          </w:r>
        </w:p>
      </w:tc>
    </w:tr>
    <w:tr w:rsidR="00A15E59" w:rsidRPr="00CD22C5" w:rsidTr="007A30FA">
      <w:trPr>
        <w:jc w:val="center"/>
      </w:trPr>
      <w:tc>
        <w:tcPr>
          <w:tcW w:w="3348" w:type="dxa"/>
          <w:vAlign w:val="center"/>
        </w:tcPr>
        <w:p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092084">
            <w:rPr>
              <w:b w:val="0"/>
              <w:sz w:val="16"/>
              <w:szCs w:val="16"/>
              <w:highlight w:val="lightGray"/>
            </w:rPr>
            <w:t>0</w:t>
          </w:r>
          <w:r w:rsidR="00092084" w:rsidRPr="00092084">
            <w:rPr>
              <w:b w:val="0"/>
              <w:sz w:val="16"/>
              <w:szCs w:val="16"/>
            </w:rPr>
            <w:t>8/202</w:t>
          </w:r>
          <w:r w:rsidR="00712FA2">
            <w:rPr>
              <w:b w:val="0"/>
              <w:sz w:val="16"/>
              <w:szCs w:val="16"/>
            </w:rPr>
            <w:t>5</w:t>
          </w:r>
          <w:bookmarkStart w:id="0" w:name="_GoBack"/>
          <w:bookmarkEnd w:id="0"/>
        </w:p>
      </w:tc>
      <w:tc>
        <w:tcPr>
          <w:tcW w:w="6228" w:type="dxa"/>
          <w:vAlign w:val="center"/>
        </w:tcPr>
        <w:p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FF67BF">
            <w:rPr>
              <w:b w:val="0"/>
              <w:noProof/>
              <w:sz w:val="16"/>
              <w:szCs w:val="16"/>
            </w:rPr>
            <w:t>4</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FF67BF">
            <w:rPr>
              <w:b w:val="0"/>
              <w:noProof/>
              <w:sz w:val="16"/>
              <w:szCs w:val="16"/>
            </w:rPr>
            <w:t>4</w:t>
          </w:r>
          <w:r w:rsidRPr="00CD22C5">
            <w:rPr>
              <w:b w:val="0"/>
              <w:sz w:val="16"/>
              <w:szCs w:val="16"/>
            </w:rPr>
            <w:fldChar w:fldCharType="end"/>
          </w:r>
        </w:p>
      </w:tc>
    </w:tr>
  </w:tbl>
  <w:p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rsidTr="00CD22C5">
      <w:tc>
        <w:tcPr>
          <w:tcW w:w="4338" w:type="dxa"/>
          <w:vAlign w:val="center"/>
        </w:tcPr>
        <w:p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rsidTr="00CD22C5">
      <w:tc>
        <w:tcPr>
          <w:tcW w:w="4338" w:type="dxa"/>
          <w:vAlign w:val="center"/>
        </w:tcPr>
        <w:p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CB2DEE">
            <w:rPr>
              <w:b w:val="0"/>
              <w:noProof/>
              <w:sz w:val="16"/>
              <w:szCs w:val="16"/>
            </w:rPr>
            <w:t>2</w:t>
          </w:r>
          <w:r w:rsidRPr="00CD22C5">
            <w:rPr>
              <w:b w:val="0"/>
              <w:sz w:val="16"/>
              <w:szCs w:val="16"/>
            </w:rPr>
            <w:fldChar w:fldCharType="end"/>
          </w:r>
        </w:p>
      </w:tc>
    </w:tr>
  </w:tbl>
  <w:p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E00" w:rsidRDefault="00802E00">
      <w:pPr>
        <w:spacing w:after="0" w:line="240" w:lineRule="auto"/>
      </w:pPr>
      <w:r>
        <w:separator/>
      </w:r>
    </w:p>
  </w:footnote>
  <w:footnote w:type="continuationSeparator" w:id="0">
    <w:p w:rsidR="00802E00" w:rsidRDefault="00802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2" w:rsidRDefault="00712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A15E59" w:rsidRPr="00A15E59" w:rsidRDefault="00A15E59" w:rsidP="00A15E59">
          <w:pPr>
            <w:pStyle w:val="Header"/>
            <w:spacing w:before="0"/>
            <w:jc w:val="center"/>
            <w:rPr>
              <w:color w:val="0F3966" w:themeColor="accent1"/>
              <w:sz w:val="24"/>
            </w:rPr>
          </w:pPr>
          <w:r w:rsidRPr="00A15E59">
            <w:rPr>
              <w:sz w:val="24"/>
            </w:rPr>
            <w:t xml:space="preserve">OPERATING </w:t>
          </w:r>
          <w:r w:rsidR="003A3046">
            <w:rPr>
              <w:sz w:val="24"/>
            </w:rPr>
            <w:t>PROCEDURES</w:t>
          </w:r>
        </w:p>
      </w:tc>
    </w:tr>
    <w:tr w:rsidR="00A15E59" w:rsidRPr="00A15E59"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727C62" w:rsidRPr="00A15E59" w:rsidRDefault="00DA64F9" w:rsidP="00DA64F9">
          <w:pPr>
            <w:pStyle w:val="Header"/>
            <w:spacing w:before="0"/>
            <w:jc w:val="center"/>
            <w:rPr>
              <w:sz w:val="24"/>
            </w:rPr>
          </w:pPr>
          <w:r>
            <w:rPr>
              <w:sz w:val="24"/>
            </w:rPr>
            <w:t>CONSENT TO ACCESS PUBLIC BENEFITS</w:t>
          </w:r>
        </w:p>
      </w:tc>
    </w:tr>
    <w:tr w:rsidR="00A15E59" w:rsidRPr="00A15E59"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D90330" w:rsidRPr="00A15E59" w:rsidRDefault="00D90330" w:rsidP="0017202D">
          <w:pPr>
            <w:pStyle w:val="Header"/>
            <w:spacing w:before="0"/>
            <w:jc w:val="left"/>
          </w:pPr>
          <w:r>
            <w:t>Robertson County Special Services</w:t>
          </w:r>
        </w:p>
      </w:tc>
      <w:tc>
        <w:tcPr>
          <w:tcW w:w="1710" w:type="dxa"/>
          <w:vAlign w:val="center"/>
        </w:tcPr>
        <w:p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2" w:rsidRDefault="00712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563CF5"/>
    <w:multiLevelType w:val="hybridMultilevel"/>
    <w:tmpl w:val="73C83A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2524163E"/>
    <w:multiLevelType w:val="hybridMultilevel"/>
    <w:tmpl w:val="04E0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92C13"/>
    <w:multiLevelType w:val="hybridMultilevel"/>
    <w:tmpl w:val="1DD27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167BB"/>
    <w:multiLevelType w:val="hybridMultilevel"/>
    <w:tmpl w:val="703C1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9522C6"/>
    <w:multiLevelType w:val="hybridMultilevel"/>
    <w:tmpl w:val="6EDC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08B71B6"/>
    <w:multiLevelType w:val="hybridMultilevel"/>
    <w:tmpl w:val="2190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2D6FEB"/>
    <w:multiLevelType w:val="hybridMultilevel"/>
    <w:tmpl w:val="AAC26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CA66A5"/>
    <w:multiLevelType w:val="hybridMultilevel"/>
    <w:tmpl w:val="01742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0"/>
  </w:num>
  <w:num w:numId="14">
    <w:abstractNumId w:val="20"/>
  </w:num>
  <w:num w:numId="15">
    <w:abstractNumId w:val="15"/>
  </w:num>
  <w:num w:numId="16">
    <w:abstractNumId w:val="13"/>
  </w:num>
  <w:num w:numId="17">
    <w:abstractNumId w:val="9"/>
  </w:num>
  <w:num w:numId="18">
    <w:abstractNumId w:val="16"/>
  </w:num>
  <w:num w:numId="19">
    <w:abstractNumId w:val="11"/>
  </w:num>
  <w:num w:numId="20">
    <w:abstractNumId w:val="21"/>
  </w:num>
  <w:num w:numId="21">
    <w:abstractNumId w:val="18"/>
  </w:num>
  <w:num w:numId="22">
    <w:abstractNumId w:val="14"/>
  </w:num>
  <w:num w:numId="23">
    <w:abstractNumId w:val="19"/>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43125"/>
    <w:rsid w:val="00092084"/>
    <w:rsid w:val="000C084D"/>
    <w:rsid w:val="000C551A"/>
    <w:rsid w:val="00100CDB"/>
    <w:rsid w:val="0010401E"/>
    <w:rsid w:val="00140EB8"/>
    <w:rsid w:val="00161877"/>
    <w:rsid w:val="0017202D"/>
    <w:rsid w:val="001926E0"/>
    <w:rsid w:val="001C6AC8"/>
    <w:rsid w:val="001E4ECB"/>
    <w:rsid w:val="002045E8"/>
    <w:rsid w:val="00212D0F"/>
    <w:rsid w:val="00271990"/>
    <w:rsid w:val="00287E6A"/>
    <w:rsid w:val="00375C63"/>
    <w:rsid w:val="003920EE"/>
    <w:rsid w:val="003A3046"/>
    <w:rsid w:val="00426C23"/>
    <w:rsid w:val="00452D0C"/>
    <w:rsid w:val="00462709"/>
    <w:rsid w:val="00470E2E"/>
    <w:rsid w:val="00470F29"/>
    <w:rsid w:val="00475848"/>
    <w:rsid w:val="004C26A1"/>
    <w:rsid w:val="004D67AF"/>
    <w:rsid w:val="004E2A26"/>
    <w:rsid w:val="004F27C1"/>
    <w:rsid w:val="004F452C"/>
    <w:rsid w:val="00512E3A"/>
    <w:rsid w:val="005B4D80"/>
    <w:rsid w:val="00633C11"/>
    <w:rsid w:val="006E3F0A"/>
    <w:rsid w:val="00712FA2"/>
    <w:rsid w:val="0071445F"/>
    <w:rsid w:val="00727C62"/>
    <w:rsid w:val="007A17D8"/>
    <w:rsid w:val="007A30FA"/>
    <w:rsid w:val="007D5D41"/>
    <w:rsid w:val="00802E00"/>
    <w:rsid w:val="00831F03"/>
    <w:rsid w:val="00834CEC"/>
    <w:rsid w:val="00850B01"/>
    <w:rsid w:val="00884D94"/>
    <w:rsid w:val="00894980"/>
    <w:rsid w:val="00894CA1"/>
    <w:rsid w:val="008B4399"/>
    <w:rsid w:val="008E1425"/>
    <w:rsid w:val="008F656D"/>
    <w:rsid w:val="008F6976"/>
    <w:rsid w:val="00924B11"/>
    <w:rsid w:val="009415A3"/>
    <w:rsid w:val="00962988"/>
    <w:rsid w:val="00974C7F"/>
    <w:rsid w:val="00976E6E"/>
    <w:rsid w:val="00980EAE"/>
    <w:rsid w:val="00996831"/>
    <w:rsid w:val="00A15E59"/>
    <w:rsid w:val="00AA0D55"/>
    <w:rsid w:val="00AF4B0B"/>
    <w:rsid w:val="00B11C91"/>
    <w:rsid w:val="00B255D7"/>
    <w:rsid w:val="00B44EC1"/>
    <w:rsid w:val="00BB2294"/>
    <w:rsid w:val="00BD05FF"/>
    <w:rsid w:val="00BE4D54"/>
    <w:rsid w:val="00BF06FA"/>
    <w:rsid w:val="00C24BAB"/>
    <w:rsid w:val="00C2558A"/>
    <w:rsid w:val="00C52250"/>
    <w:rsid w:val="00C5353A"/>
    <w:rsid w:val="00C6562F"/>
    <w:rsid w:val="00CB2DEE"/>
    <w:rsid w:val="00CD22C5"/>
    <w:rsid w:val="00CE5EEE"/>
    <w:rsid w:val="00D100AD"/>
    <w:rsid w:val="00D22B8F"/>
    <w:rsid w:val="00D45E93"/>
    <w:rsid w:val="00D46B8E"/>
    <w:rsid w:val="00D54A17"/>
    <w:rsid w:val="00D63FD3"/>
    <w:rsid w:val="00D90330"/>
    <w:rsid w:val="00DA64F9"/>
    <w:rsid w:val="00DB231F"/>
    <w:rsid w:val="00DF5B9C"/>
    <w:rsid w:val="00E00450"/>
    <w:rsid w:val="00E009AB"/>
    <w:rsid w:val="00E164D4"/>
    <w:rsid w:val="00E20AB4"/>
    <w:rsid w:val="00E21132"/>
    <w:rsid w:val="00E30FC1"/>
    <w:rsid w:val="00E37D8B"/>
    <w:rsid w:val="00E514A4"/>
    <w:rsid w:val="00ED5C01"/>
    <w:rsid w:val="00EE050F"/>
    <w:rsid w:val="00EE1684"/>
    <w:rsid w:val="00EE1F1C"/>
    <w:rsid w:val="00EF3A8D"/>
    <w:rsid w:val="00F04CEA"/>
    <w:rsid w:val="00F11CFF"/>
    <w:rsid w:val="00F45DF7"/>
    <w:rsid w:val="00F90F60"/>
    <w:rsid w:val="00FB14D2"/>
    <w:rsid w:val="00FC4DAA"/>
    <w:rsid w:val="00FC6D50"/>
    <w:rsid w:val="00FD7015"/>
    <w:rsid w:val="00FD7CB6"/>
    <w:rsid w:val="00FE2DB3"/>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B607D"/>
  <w15:docId w15:val="{F1BDD124-672D-4FD1-B16D-EE5B5D13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6E0"/>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qFormat/>
    <w:rsid w:val="001926E0"/>
    <w:rPr>
      <w:rFonts w:ascii="Verdana" w:hAnsi="Verdana"/>
      <w:color w:val="0000FF"/>
      <w:sz w:val="20"/>
      <w:u w:val="single" w:color="0000FF"/>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8B4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38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89&amp;DT=G&amp;LID=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amework.esc18.net/display/Webforms/LandingPage.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w.esc18.net/FrameworkAuthoringSystem/Documents/AdditionalResources/OSERS%20Memorandum%20to%20State%20Directors%20of%20Special%20Education%206.11.13.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2.ed.gov/policy/speced/reg/idea/part-b/idea-part-b-parental-consent--qa.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a.texas.gov/Academics/Special_Student_Populations/Special_Education/Programs_and_Services/School_Health_and_Related_Servic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A4E7AB7-40F3-4E54-860E-FF222A152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14</cp:revision>
  <cp:lastPrinted>2016-10-17T16:26:00Z</cp:lastPrinted>
  <dcterms:created xsi:type="dcterms:W3CDTF">2020-09-16T13:46:00Z</dcterms:created>
  <dcterms:modified xsi:type="dcterms:W3CDTF">2025-10-27T14:54:00Z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