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2EAD"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BE4E7D">
          <w:rPr>
            <w:rStyle w:val="Hyperlink"/>
            <w:szCs w:val="20"/>
          </w:rPr>
          <w:t>Consent to Transfer Assistive Technology Devices</w:t>
        </w:r>
      </w:hyperlink>
      <w:r w:rsidRPr="008E1425">
        <w:rPr>
          <w:color w:val="000000" w:themeColor="text1"/>
          <w:szCs w:val="20"/>
        </w:rPr>
        <w:t xml:space="preserve"> </w:t>
      </w:r>
    </w:p>
    <w:p w14:paraId="32D28E4C"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E7D">
        <w:rPr>
          <w:color w:val="000000" w:themeColor="text1"/>
          <w:szCs w:val="20"/>
        </w:rPr>
        <w:t>Consent</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14:paraId="52A9BF38" w14:textId="77777777" w:rsidR="00D46B8E" w:rsidRDefault="00D46B8E" w:rsidP="00D46B8E">
      <w:pPr>
        <w:spacing w:after="0" w:line="240" w:lineRule="auto"/>
        <w:jc w:val="both"/>
        <w:rPr>
          <w:rFonts w:eastAsia="Times New Roman" w:cs="Times New Roman"/>
          <w:color w:val="auto"/>
          <w:szCs w:val="20"/>
        </w:rPr>
      </w:pPr>
    </w:p>
    <w:p w14:paraId="5519975E" w14:textId="77777777" w:rsidR="00BE4E7D" w:rsidRPr="00BE4E7D" w:rsidRDefault="00BE4E7D" w:rsidP="00BE4E7D">
      <w:pPr>
        <w:spacing w:after="0" w:line="240" w:lineRule="auto"/>
        <w:jc w:val="both"/>
        <w:rPr>
          <w:rFonts w:eastAsia="Times New Roman" w:cs="Times New Roman"/>
          <w:color w:val="auto"/>
          <w:szCs w:val="20"/>
        </w:rPr>
      </w:pPr>
      <w:r w:rsidRPr="00BE4E7D">
        <w:rPr>
          <w:rFonts w:eastAsia="Times New Roman" w:cs="Times New Roman"/>
          <w:color w:val="auto"/>
          <w:szCs w:val="20"/>
        </w:rPr>
        <w:t xml:space="preserve">“The definition of </w:t>
      </w:r>
      <w:r w:rsidRPr="00BE4E7D">
        <w:rPr>
          <w:rFonts w:eastAsia="Times New Roman" w:cs="Times New Roman"/>
          <w:i/>
          <w:color w:val="auto"/>
          <w:szCs w:val="20"/>
        </w:rPr>
        <w:t>consent</w:t>
      </w:r>
      <w:r w:rsidRPr="00BE4E7D">
        <w:rPr>
          <w:rFonts w:eastAsia="Times New Roman" w:cs="Times New Roman"/>
          <w:color w:val="auto"/>
          <w:szCs w:val="20"/>
        </w:rPr>
        <w:t xml:space="preserve"> requires a parent to be fully informed of all information relevant to the activity for which consent is sought. The definition also requires a parent to agree in writing to an activity for which consent is sought.  Therefore, whenever consent is used in these regulations, it means that the consent is both informed and in writing.”  71 Fed. Reg. 46551 (August 14, 2006).</w:t>
      </w:r>
    </w:p>
    <w:p w14:paraId="51D0CAB0" w14:textId="77777777" w:rsidR="00BE4E7D" w:rsidRPr="00BE4E7D" w:rsidRDefault="00BE4E7D" w:rsidP="00BE4E7D">
      <w:pPr>
        <w:spacing w:after="0" w:line="240" w:lineRule="auto"/>
        <w:jc w:val="both"/>
        <w:rPr>
          <w:rFonts w:eastAsia="Times New Roman" w:cs="Times New Roman"/>
          <w:b/>
          <w:color w:val="auto"/>
          <w:szCs w:val="20"/>
        </w:rPr>
      </w:pPr>
    </w:p>
    <w:p w14:paraId="51FC9E19" w14:textId="77777777" w:rsidR="00BE4E7D" w:rsidRPr="00BE4E7D" w:rsidRDefault="00BE4E7D" w:rsidP="00BE4E7D">
      <w:pPr>
        <w:spacing w:after="0" w:line="240" w:lineRule="auto"/>
        <w:jc w:val="both"/>
        <w:rPr>
          <w:rFonts w:eastAsia="Times New Roman" w:cs="Times New Roman"/>
          <w:color w:val="auto"/>
          <w:szCs w:val="20"/>
        </w:rPr>
      </w:pPr>
      <w:r w:rsidRPr="00BE4E7D">
        <w:rPr>
          <w:rFonts w:eastAsia="Times New Roman" w:cs="Times New Roman"/>
          <w:color w:val="auto"/>
          <w:szCs w:val="20"/>
        </w:rPr>
        <w:t>“As a matter of practice, public agencies begin the process of obtaining parental consent by identifying the parent and contacting the parent by phone or through written correspondence, or speaking to the parent in parent-teacher conferences.”  71 Fed. Reg. 46629 (August 14, 2006).</w:t>
      </w:r>
    </w:p>
    <w:p w14:paraId="634A0EF4" w14:textId="77777777" w:rsidR="00BE4E7D" w:rsidRPr="00BE4E7D" w:rsidRDefault="00BE4E7D" w:rsidP="00BE4E7D">
      <w:pPr>
        <w:spacing w:after="0" w:line="240" w:lineRule="auto"/>
        <w:rPr>
          <w:rFonts w:eastAsia="Times New Roman" w:cs="Times New Roman"/>
          <w:color w:val="auto"/>
          <w:szCs w:val="20"/>
        </w:rPr>
      </w:pPr>
    </w:p>
    <w:p w14:paraId="2B2C99BB" w14:textId="77777777" w:rsidR="00BE4E7D" w:rsidRPr="00BE4E7D" w:rsidRDefault="00BE4E7D" w:rsidP="00BE4E7D">
      <w:pPr>
        <w:spacing w:after="0" w:line="240" w:lineRule="auto"/>
        <w:jc w:val="both"/>
        <w:rPr>
          <w:rFonts w:eastAsia="Times New Roman" w:cs="Times New Roman"/>
          <w:color w:val="auto"/>
          <w:szCs w:val="20"/>
        </w:rPr>
      </w:pPr>
      <w:r w:rsidRPr="00BE4E7D">
        <w:rPr>
          <w:rFonts w:eastAsia="Times New Roman" w:cs="Times New Roman"/>
          <w:color w:val="auto"/>
          <w:szCs w:val="20"/>
        </w:rPr>
        <w:t>“If a surrogate parent already has been appointed because the public agency, after reasonable efforts, could not locate a parent, the public agency would not have to again attempt to contact other individuals meeting the definition of parent in § 300.30 to seek consent.”  71</w:t>
      </w:r>
      <w:r>
        <w:rPr>
          <w:rFonts w:eastAsia="Times New Roman" w:cs="Times New Roman"/>
          <w:color w:val="auto"/>
          <w:szCs w:val="20"/>
        </w:rPr>
        <w:t> </w:t>
      </w:r>
      <w:r w:rsidRPr="00BE4E7D">
        <w:rPr>
          <w:rFonts w:eastAsia="Times New Roman" w:cs="Times New Roman"/>
          <w:color w:val="auto"/>
          <w:szCs w:val="20"/>
        </w:rPr>
        <w:t>Fed. Reg. 46631 (August 14, 2006).</w:t>
      </w:r>
    </w:p>
    <w:p w14:paraId="691274C5" w14:textId="77777777" w:rsidR="00BE4E7D" w:rsidRPr="00BE4E7D" w:rsidRDefault="00BE4E7D" w:rsidP="00BE4E7D">
      <w:pPr>
        <w:spacing w:after="0" w:line="240" w:lineRule="auto"/>
        <w:jc w:val="both"/>
        <w:rPr>
          <w:rFonts w:eastAsia="Times New Roman" w:cs="Times New Roman"/>
          <w:color w:val="auto"/>
          <w:szCs w:val="20"/>
        </w:rPr>
      </w:pPr>
    </w:p>
    <w:p w14:paraId="0416A19B" w14:textId="77777777" w:rsidR="00BE4E7D" w:rsidRPr="00BE4E7D" w:rsidRDefault="00BE4E7D" w:rsidP="00BE4E7D">
      <w:pPr>
        <w:spacing w:after="0" w:line="240" w:lineRule="auto"/>
        <w:jc w:val="both"/>
        <w:rPr>
          <w:rFonts w:eastAsia="Times New Roman" w:cs="Times New Roman"/>
          <w:color w:val="auto"/>
          <w:szCs w:val="20"/>
        </w:rPr>
      </w:pPr>
      <w:r w:rsidRPr="00BE4E7D">
        <w:rPr>
          <w:rFonts w:eastAsia="Times New Roman" w:cs="Times New Roman"/>
          <w:color w:val="auto"/>
          <w:szCs w:val="20"/>
        </w:rPr>
        <w:t xml:space="preserve">“In instances where Part B funds have been used to purchase an assistive technology device for a student with a disability to carry out the student's [individualized education program] IEP, school districts can collaborate with state vocational rehabilitation agencies to make arrangements for a student to continue to use that device as he or she transitions to, and participates in, a state vocational rehabilitation [VR] services program which is funded under Title I of the Rehabilitation Act. The use, management and disposition of assistive technology devices that meet the definition of equipment is found in the Education Department General Administrative Regulations (EDGAR), which also contain guidelines for the use of this equipment. Essentially, the regulations provide that a local educational agency </w:t>
      </w:r>
      <w:r w:rsidR="00EB5DB9">
        <w:rPr>
          <w:rFonts w:eastAsia="Times New Roman" w:cs="Times New Roman"/>
          <w:color w:val="auto"/>
          <w:szCs w:val="20"/>
        </w:rPr>
        <w:t xml:space="preserve">[LEA] </w:t>
      </w:r>
      <w:r w:rsidRPr="00BE4E7D">
        <w:rPr>
          <w:rFonts w:eastAsia="Times New Roman" w:cs="Times New Roman"/>
          <w:color w:val="auto"/>
          <w:szCs w:val="20"/>
        </w:rPr>
        <w:t xml:space="preserve">must continue to use equipment purchased with Part B funds as long as it needs the equipment to carry out its Part B program. Since transition planning and services are considered essential to Part B, students can continue to use their assistive technology devices as they transition into a program of VR services. The local educational agency can transfer ownership of the equipment to the state VR agency if the LEA determines that it no longer needs that device in connection with its Part B program or for any other federally-supported project it conducts. For example, it is unlikely that LEAs would need specially customized or otherwise modified equipment which is specifically designed for a child and a transfer would be permitted under this scenario. In the event of transfer of ownership, however, the district may have a further obligation to the [state educational agency] SEA depending upon the value of the device.”  </w:t>
      </w:r>
      <w:hyperlink r:id="rId9" w:tgtFrame="_blank" w:history="1">
        <w:r w:rsidRPr="00BE4E7D">
          <w:rPr>
            <w:rFonts w:eastAsia="Times New Roman" w:cs="Times New Roman"/>
            <w:i/>
            <w:color w:val="0000FF"/>
            <w:szCs w:val="20"/>
            <w:u w:val="single"/>
          </w:rPr>
          <w:t>OSEP Letter to Goodman</w:t>
        </w:r>
        <w:r w:rsidRPr="00BE4E7D">
          <w:rPr>
            <w:rFonts w:eastAsia="Times New Roman" w:cs="Times New Roman"/>
            <w:color w:val="0000FF"/>
            <w:szCs w:val="20"/>
            <w:u w:val="single"/>
          </w:rPr>
          <w:t xml:space="preserve"> (June 21, 1998)</w:t>
        </w:r>
      </w:hyperlink>
      <w:r w:rsidRPr="00BE4E7D">
        <w:rPr>
          <w:rFonts w:eastAsia="Times New Roman" w:cs="Times New Roman"/>
          <w:color w:val="auto"/>
          <w:szCs w:val="20"/>
        </w:rPr>
        <w:t xml:space="preserve">; see also, </w:t>
      </w:r>
      <w:hyperlink r:id="rId10" w:history="1">
        <w:r w:rsidRPr="00EB5DB9">
          <w:rPr>
            <w:rFonts w:eastAsia="Times New Roman" w:cs="Times New Roman"/>
            <w:i/>
            <w:color w:val="0000FF"/>
            <w:szCs w:val="20"/>
            <w:u w:val="single"/>
          </w:rPr>
          <w:t>2 Code of Federal Regulations (CFR) §200.313</w:t>
        </w:r>
      </w:hyperlink>
      <w:r w:rsidRPr="00BE4E7D">
        <w:rPr>
          <w:rFonts w:eastAsia="Times New Roman" w:cs="Times New Roman"/>
          <w:color w:val="auto"/>
          <w:szCs w:val="20"/>
        </w:rPr>
        <w:t xml:space="preserve"> EDGAR regulation governing equipment.</w:t>
      </w:r>
    </w:p>
    <w:p w14:paraId="73426A55" w14:textId="77777777" w:rsidR="00BE4E7D" w:rsidRPr="00BE4E7D" w:rsidRDefault="00BE4E7D" w:rsidP="00BE4E7D">
      <w:pPr>
        <w:spacing w:after="0" w:line="240" w:lineRule="auto"/>
        <w:jc w:val="both"/>
        <w:rPr>
          <w:rFonts w:eastAsia="Times New Roman" w:cs="Times New Roman"/>
          <w:color w:val="auto"/>
          <w:szCs w:val="20"/>
        </w:rPr>
      </w:pPr>
    </w:p>
    <w:p w14:paraId="55F63377" w14:textId="25D26A40" w:rsidR="00FD7CB6" w:rsidRDefault="00BE4E7D" w:rsidP="00C6562F">
      <w:pPr>
        <w:spacing w:after="0" w:line="240" w:lineRule="auto"/>
        <w:jc w:val="both"/>
        <w:rPr>
          <w:rFonts w:eastAsia="Times New Roman" w:cs="Times New Roman"/>
          <w:color w:val="auto"/>
          <w:szCs w:val="20"/>
        </w:rPr>
      </w:pPr>
      <w:r w:rsidRPr="00BE4E7D">
        <w:rPr>
          <w:rFonts w:eastAsia="Times New Roman" w:cs="Times New Roman"/>
          <w:color w:val="auto"/>
          <w:szCs w:val="20"/>
        </w:rPr>
        <w:t>Through the implementation of the</w:t>
      </w:r>
      <w:r w:rsidR="008F29DA">
        <w:rPr>
          <w:rFonts w:eastAsia="Times New Roman" w:cs="Times New Roman"/>
          <w:color w:val="auto"/>
          <w:szCs w:val="20"/>
        </w:rPr>
        <w:t xml:space="preserve"> member district</w:t>
      </w:r>
      <w:r w:rsidRPr="00BE4E7D">
        <w:rPr>
          <w:rFonts w:eastAsia="Times New Roman" w:cs="Times New Roman"/>
          <w:color w:val="auto"/>
          <w:szCs w:val="20"/>
        </w:rPr>
        <w:t xml:space="preserve"> policies and procedures as outlined in the </w:t>
      </w:r>
      <w:hyperlink r:id="rId11" w:history="1">
        <w:r w:rsidRPr="00C6562F">
          <w:rPr>
            <w:rStyle w:val="Hyperlink"/>
            <w:rFonts w:eastAsia="Times New Roman" w:cs="Times New Roman"/>
            <w:szCs w:val="20"/>
          </w:rPr>
          <w:t>Legal Framework</w:t>
        </w:r>
      </w:hyperlink>
      <w:r w:rsidRPr="00BE4E7D">
        <w:rPr>
          <w:rFonts w:eastAsia="Times New Roman" w:cs="Times New Roman"/>
          <w:color w:val="auto"/>
          <w:szCs w:val="20"/>
        </w:rPr>
        <w:t xml:space="preserve"> for the Child-Centered Special Education Process, the</w:t>
      </w:r>
      <w:r w:rsidR="008F29DA">
        <w:rPr>
          <w:rFonts w:eastAsia="Times New Roman" w:cs="Times New Roman"/>
          <w:color w:val="auto"/>
          <w:szCs w:val="20"/>
        </w:rPr>
        <w:t xml:space="preserve"> member district e</w:t>
      </w:r>
      <w:r w:rsidRPr="00BE4E7D">
        <w:rPr>
          <w:rFonts w:eastAsia="Times New Roman" w:cs="Times New Roman"/>
          <w:color w:val="auto"/>
          <w:szCs w:val="20"/>
        </w:rPr>
        <w:t xml:space="preserve">nsures that prior to transferring an assistive technology device, informed written consent for such transfer will be obtained in conformance with the </w:t>
      </w:r>
      <w:r>
        <w:rPr>
          <w:rFonts w:eastAsia="Times New Roman" w:cs="Times New Roman"/>
          <w:color w:val="auto"/>
          <w:szCs w:val="20"/>
        </w:rPr>
        <w:t>Individuals with Disabilities Education Act (</w:t>
      </w:r>
      <w:r w:rsidRPr="00BE4E7D">
        <w:rPr>
          <w:rFonts w:eastAsia="Times New Roman" w:cs="Times New Roman"/>
          <w:color w:val="auto"/>
          <w:szCs w:val="20"/>
        </w:rPr>
        <w:t>IDEA</w:t>
      </w:r>
      <w:r>
        <w:rPr>
          <w:rFonts w:eastAsia="Times New Roman" w:cs="Times New Roman"/>
          <w:color w:val="auto"/>
          <w:szCs w:val="20"/>
        </w:rPr>
        <w:t>)</w:t>
      </w:r>
      <w:r w:rsidRPr="00BE4E7D">
        <w:rPr>
          <w:rFonts w:eastAsia="Times New Roman" w:cs="Times New Roman"/>
          <w:color w:val="auto"/>
          <w:szCs w:val="20"/>
        </w:rPr>
        <w:t xml:space="preserve"> and its accompanying federal regulations, state statutes and regulations.  The</w:t>
      </w:r>
      <w:r w:rsidR="008F29DA">
        <w:rPr>
          <w:rFonts w:eastAsia="Times New Roman" w:cs="Times New Roman"/>
          <w:color w:val="auto"/>
          <w:szCs w:val="20"/>
        </w:rPr>
        <w:t xml:space="preserve"> member district</w:t>
      </w:r>
      <w:r w:rsidRPr="00BE4E7D">
        <w:rPr>
          <w:rFonts w:eastAsia="Times New Roman" w:cs="Times New Roman"/>
          <w:color w:val="auto"/>
          <w:szCs w:val="20"/>
        </w:rPr>
        <w:t xml:space="preserve"> utilizes the</w:t>
      </w:r>
      <w:r>
        <w:rPr>
          <w:rFonts w:eastAsia="Times New Roman" w:cs="Times New Roman"/>
          <w:color w:val="auto"/>
          <w:szCs w:val="20"/>
        </w:rPr>
        <w:t xml:space="preserve"> Texas Education Agency’s (</w:t>
      </w:r>
      <w:r w:rsidRPr="00BE4E7D">
        <w:rPr>
          <w:rFonts w:eastAsia="Times New Roman" w:cs="Times New Roman"/>
          <w:color w:val="auto"/>
          <w:szCs w:val="20"/>
        </w:rPr>
        <w:t>TEA’s</w:t>
      </w:r>
      <w:r>
        <w:rPr>
          <w:rFonts w:eastAsia="Times New Roman" w:cs="Times New Roman"/>
          <w:color w:val="auto"/>
          <w:szCs w:val="20"/>
        </w:rPr>
        <w:t>)</w:t>
      </w:r>
      <w:r w:rsidRPr="00BE4E7D">
        <w:rPr>
          <w:rFonts w:eastAsia="Times New Roman" w:cs="Times New Roman"/>
          <w:color w:val="auto"/>
          <w:szCs w:val="20"/>
        </w:rPr>
        <w:t xml:space="preserve"> </w:t>
      </w:r>
      <w:hyperlink r:id="rId12" w:history="1">
        <w:r w:rsidRPr="00BE4E7D">
          <w:rPr>
            <w:rFonts w:eastAsia="Times New Roman" w:cs="Times New Roman"/>
            <w:color w:val="0000FF"/>
            <w:szCs w:val="20"/>
            <w:u w:val="single"/>
          </w:rPr>
          <w:t>Uniform Transfer Agreement Form for Assistive Technology Devices</w:t>
        </w:r>
      </w:hyperlink>
      <w:r w:rsidRPr="00BE4E7D">
        <w:rPr>
          <w:rFonts w:eastAsia="Times New Roman" w:cs="Times New Roman"/>
          <w:color w:val="auto"/>
          <w:szCs w:val="20"/>
        </w:rPr>
        <w:t xml:space="preserve"> for the transfer of assistive technology devices.</w:t>
      </w:r>
    </w:p>
    <w:p w14:paraId="61214E58" w14:textId="77777777" w:rsidR="003144FD" w:rsidRDefault="003144FD">
      <w:pPr>
        <w:rPr>
          <w:rFonts w:eastAsia="Times New Roman" w:cs="Times New Roman"/>
          <w:color w:val="auto"/>
          <w:szCs w:val="20"/>
        </w:rPr>
      </w:pPr>
      <w:r>
        <w:rPr>
          <w:rFonts w:eastAsia="Times New Roman" w:cs="Times New Roman"/>
          <w:color w:val="auto"/>
          <w:szCs w:val="20"/>
        </w:rPr>
        <w:br w:type="page"/>
      </w:r>
    </w:p>
    <w:p w14:paraId="55C7784F" w14:textId="77777777" w:rsidR="00E21132" w:rsidRPr="002045E8" w:rsidRDefault="00E21132" w:rsidP="006E3F0A">
      <w:pPr>
        <w:spacing w:after="0" w:line="240" w:lineRule="auto"/>
        <w:jc w:val="both"/>
        <w:rPr>
          <w:rFonts w:eastAsia="Times New Roman" w:cs="Times New Roman"/>
          <w:color w:val="auto"/>
          <w:szCs w:val="20"/>
        </w:rPr>
      </w:pPr>
    </w:p>
    <w:p w14:paraId="605F4F94" w14:textId="77777777" w:rsidR="00DB231F" w:rsidRDefault="000B7A1E" w:rsidP="009415A3">
      <w:pPr>
        <w:spacing w:after="0" w:line="240" w:lineRule="auto"/>
        <w:rPr>
          <w:szCs w:val="20"/>
        </w:rPr>
      </w:pPr>
      <w:r>
        <w:rPr>
          <w:szCs w:val="20"/>
        </w:rPr>
        <w:pict w14:anchorId="1C49939A">
          <v:rect id="_x0000_i1025" style="width:468pt;height:3pt" o:hralign="center" o:hrstd="t" o:hrnoshade="t" o:hr="t" fillcolor="#0f3966 [3204]" stroked="f"/>
        </w:pict>
      </w:r>
    </w:p>
    <w:p w14:paraId="13436A16" w14:textId="5EDE7D22" w:rsidR="00850B01" w:rsidRPr="00F565D7" w:rsidRDefault="00E313E5" w:rsidP="00850B01">
      <w:pPr>
        <w:spacing w:after="0" w:line="240" w:lineRule="auto"/>
        <w:rPr>
          <w:iCs/>
          <w:color w:val="auto"/>
          <w:szCs w:val="20"/>
          <w:shd w:val="clear" w:color="auto" w:fill="FFFFFF"/>
        </w:rPr>
      </w:pPr>
      <w:r w:rsidRPr="00F565D7">
        <w:rPr>
          <w:iCs/>
          <w:color w:val="auto"/>
          <w:szCs w:val="20"/>
          <w:shd w:val="clear" w:color="auto" w:fill="FFFFFF"/>
        </w:rPr>
        <w:t>Parent indicates informed consent by written signature on the TEA - Uniform Transfer Agreement</w:t>
      </w:r>
      <w:r w:rsidR="00DC7253" w:rsidRPr="00F565D7">
        <w:rPr>
          <w:iCs/>
          <w:color w:val="auto"/>
          <w:szCs w:val="20"/>
          <w:shd w:val="clear" w:color="auto" w:fill="FFFFFF"/>
        </w:rPr>
        <w:t xml:space="preserve"> </w:t>
      </w:r>
      <w:r w:rsidRPr="00F565D7">
        <w:rPr>
          <w:iCs/>
          <w:color w:val="auto"/>
          <w:szCs w:val="20"/>
          <w:shd w:val="clear" w:color="auto" w:fill="FFFFFF"/>
        </w:rPr>
        <w:t xml:space="preserve">form. </w:t>
      </w:r>
    </w:p>
    <w:p w14:paraId="00458C3E" w14:textId="0721DAD4" w:rsidR="00DC7253" w:rsidRPr="00F565D7" w:rsidRDefault="00DC7253" w:rsidP="00850B01">
      <w:pPr>
        <w:spacing w:after="0" w:line="240" w:lineRule="auto"/>
        <w:rPr>
          <w:rFonts w:eastAsia="Times New Roman" w:cs="Times New Roman"/>
          <w:color w:val="auto"/>
          <w:szCs w:val="20"/>
        </w:rPr>
      </w:pPr>
    </w:p>
    <w:p w14:paraId="3F07C033" w14:textId="4E5DAD0A" w:rsidR="00DC7253" w:rsidRPr="00F565D7" w:rsidRDefault="00DC7253" w:rsidP="00F565D7">
      <w:pPr>
        <w:spacing w:after="0" w:line="240" w:lineRule="auto"/>
        <w:rPr>
          <w:rFonts w:cs="Calibri"/>
          <w:b/>
          <w:color w:val="auto"/>
          <w:szCs w:val="20"/>
        </w:rPr>
      </w:pPr>
      <w:r w:rsidRPr="00F565D7">
        <w:rPr>
          <w:rFonts w:cs="Calibri"/>
          <w:b/>
          <w:bCs/>
          <w:color w:val="auto"/>
          <w:szCs w:val="20"/>
        </w:rPr>
        <w:t>S</w:t>
      </w:r>
      <w:r w:rsidR="00F565D7" w:rsidRPr="00F565D7">
        <w:rPr>
          <w:rFonts w:cs="Calibri"/>
          <w:b/>
          <w:bCs/>
          <w:color w:val="auto"/>
          <w:szCs w:val="20"/>
        </w:rPr>
        <w:t>taff Responsible</w:t>
      </w:r>
      <w:r w:rsidRPr="00F565D7">
        <w:rPr>
          <w:rFonts w:cs="Calibri"/>
          <w:b/>
          <w:color w:val="auto"/>
          <w:szCs w:val="20"/>
        </w:rPr>
        <w:t>:</w:t>
      </w:r>
    </w:p>
    <w:p w14:paraId="2765354D" w14:textId="37F831BA" w:rsidR="00DC7253" w:rsidRPr="00F565D7" w:rsidRDefault="00DC7253" w:rsidP="00DC7253">
      <w:pPr>
        <w:spacing w:after="120" w:line="240" w:lineRule="auto"/>
        <w:ind w:firstLine="720"/>
        <w:contextualSpacing/>
        <w:rPr>
          <w:rFonts w:cs="Calibri"/>
          <w:color w:val="auto"/>
          <w:szCs w:val="20"/>
        </w:rPr>
      </w:pPr>
      <w:r w:rsidRPr="00F565D7">
        <w:rPr>
          <w:rFonts w:cs="Calibri"/>
          <w:b/>
          <w:color w:val="auto"/>
          <w:szCs w:val="20"/>
        </w:rPr>
        <w:t xml:space="preserve">District Level: </w:t>
      </w:r>
      <w:r w:rsidRPr="00F565D7">
        <w:rPr>
          <w:rFonts w:cs="Calibri"/>
          <w:color w:val="auto"/>
          <w:szCs w:val="20"/>
        </w:rPr>
        <w:t>Special Education Director</w:t>
      </w:r>
    </w:p>
    <w:p w14:paraId="70BA9D77" w14:textId="3002221E" w:rsidR="00DC7253" w:rsidRPr="00F565D7" w:rsidRDefault="00DC7253" w:rsidP="00DC7253">
      <w:pPr>
        <w:spacing w:after="120" w:line="240" w:lineRule="auto"/>
        <w:ind w:firstLine="720"/>
        <w:contextualSpacing/>
        <w:rPr>
          <w:rFonts w:cs="Calibri"/>
          <w:color w:val="auto"/>
          <w:szCs w:val="20"/>
        </w:rPr>
      </w:pPr>
      <w:r w:rsidRPr="00F565D7">
        <w:rPr>
          <w:rFonts w:cs="Calibri"/>
          <w:b/>
          <w:color w:val="auto"/>
          <w:szCs w:val="20"/>
        </w:rPr>
        <w:t>Campus Level:</w:t>
      </w:r>
      <w:r w:rsidRPr="00F565D7">
        <w:rPr>
          <w:rFonts w:cs="Calibri"/>
          <w:color w:val="auto"/>
          <w:szCs w:val="20"/>
        </w:rPr>
        <w:t xml:space="preserve"> Principal, Diagnostician/LSSP, AT Team Member</w:t>
      </w:r>
    </w:p>
    <w:p w14:paraId="4237DDE9" w14:textId="77777777" w:rsidR="00DC7253" w:rsidRPr="00F565D7" w:rsidRDefault="00DC7253" w:rsidP="00DC7253">
      <w:pPr>
        <w:spacing w:after="120" w:line="240" w:lineRule="auto"/>
        <w:contextualSpacing/>
        <w:rPr>
          <w:rFonts w:cs="Calibri"/>
          <w:color w:val="auto"/>
          <w:szCs w:val="20"/>
        </w:rPr>
      </w:pPr>
    </w:p>
    <w:p w14:paraId="39721A80" w14:textId="487BA4C2" w:rsidR="00DC7253" w:rsidRPr="00F565D7" w:rsidRDefault="00DC7253" w:rsidP="00F565D7">
      <w:pPr>
        <w:spacing w:after="0" w:line="240" w:lineRule="auto"/>
        <w:contextualSpacing/>
        <w:rPr>
          <w:rFonts w:cs="Calibri"/>
          <w:bCs/>
          <w:color w:val="auto"/>
          <w:szCs w:val="20"/>
        </w:rPr>
      </w:pPr>
      <w:r w:rsidRPr="00F565D7">
        <w:rPr>
          <w:rFonts w:cs="Calibri"/>
          <w:b/>
          <w:color w:val="auto"/>
          <w:szCs w:val="20"/>
        </w:rPr>
        <w:t>E</w:t>
      </w:r>
      <w:r w:rsidR="00F565D7" w:rsidRPr="00F565D7">
        <w:rPr>
          <w:rFonts w:cs="Calibri"/>
          <w:b/>
          <w:color w:val="auto"/>
          <w:szCs w:val="20"/>
        </w:rPr>
        <w:t>vidence of Practice</w:t>
      </w:r>
      <w:r w:rsidRPr="00F565D7">
        <w:rPr>
          <w:rFonts w:cs="Calibri"/>
          <w:b/>
          <w:color w:val="auto"/>
          <w:szCs w:val="20"/>
        </w:rPr>
        <w:t>:</w:t>
      </w:r>
    </w:p>
    <w:p w14:paraId="696F6C7A" w14:textId="3F80E2CA" w:rsidR="00DC7253" w:rsidRPr="00F565D7" w:rsidRDefault="00DC7253" w:rsidP="00DC7253">
      <w:pPr>
        <w:pStyle w:val="ListParagraph"/>
        <w:numPr>
          <w:ilvl w:val="0"/>
          <w:numId w:val="22"/>
        </w:numPr>
        <w:spacing w:after="120" w:line="240" w:lineRule="auto"/>
        <w:rPr>
          <w:rFonts w:cs="Calibri"/>
          <w:bCs/>
          <w:color w:val="auto"/>
          <w:szCs w:val="20"/>
        </w:rPr>
      </w:pPr>
      <w:r w:rsidRPr="00F565D7">
        <w:rPr>
          <w:rFonts w:cs="Calibri"/>
          <w:bCs/>
          <w:color w:val="auto"/>
          <w:szCs w:val="20"/>
        </w:rPr>
        <w:t xml:space="preserve">Uniform Transfer Agreement </w:t>
      </w:r>
      <w:hyperlink r:id="rId13" w:history="1">
        <w:r w:rsidRPr="00F565D7">
          <w:rPr>
            <w:rStyle w:val="Hyperlink"/>
            <w:rFonts w:cs="Calibri"/>
            <w:bCs/>
            <w:szCs w:val="20"/>
          </w:rPr>
          <w:t>https://tea.texas.gov/sites/default/files/UniformTransferAgreement%5B1%5D.pdf</w:t>
        </w:r>
      </w:hyperlink>
      <w:r w:rsidRPr="00F565D7">
        <w:rPr>
          <w:rFonts w:cs="Calibri"/>
          <w:bCs/>
          <w:color w:val="auto"/>
          <w:szCs w:val="20"/>
        </w:rPr>
        <w:t xml:space="preserve"> </w:t>
      </w:r>
    </w:p>
    <w:p w14:paraId="38D4A240" w14:textId="540B3061" w:rsidR="009856DE" w:rsidRDefault="009856DE" w:rsidP="00850B01">
      <w:pPr>
        <w:spacing w:after="0" w:line="240" w:lineRule="auto"/>
        <w:rPr>
          <w:rFonts w:eastAsia="Times New Roman" w:cs="Times New Roman"/>
          <w:color w:val="auto"/>
          <w:szCs w:val="20"/>
        </w:rPr>
      </w:pPr>
    </w:p>
    <w:p w14:paraId="0A14207E" w14:textId="77777777" w:rsidR="009856DE" w:rsidRPr="009856DE" w:rsidRDefault="009856DE" w:rsidP="009856DE">
      <w:pPr>
        <w:rPr>
          <w:rFonts w:eastAsia="Times New Roman" w:cs="Times New Roman"/>
          <w:szCs w:val="20"/>
        </w:rPr>
      </w:pPr>
    </w:p>
    <w:p w14:paraId="4B5CC6F2" w14:textId="77777777" w:rsidR="009856DE" w:rsidRPr="009856DE" w:rsidRDefault="009856DE" w:rsidP="009856DE">
      <w:pPr>
        <w:rPr>
          <w:rFonts w:eastAsia="Times New Roman" w:cs="Times New Roman"/>
          <w:szCs w:val="20"/>
        </w:rPr>
      </w:pPr>
    </w:p>
    <w:p w14:paraId="2D4E7A84" w14:textId="77777777" w:rsidR="009856DE" w:rsidRPr="009856DE" w:rsidRDefault="009856DE" w:rsidP="009856DE">
      <w:pPr>
        <w:rPr>
          <w:rFonts w:eastAsia="Times New Roman" w:cs="Times New Roman"/>
          <w:szCs w:val="20"/>
        </w:rPr>
      </w:pPr>
    </w:p>
    <w:p w14:paraId="53DB441A" w14:textId="77777777" w:rsidR="009856DE" w:rsidRPr="009856DE" w:rsidRDefault="009856DE" w:rsidP="009856DE">
      <w:pPr>
        <w:rPr>
          <w:rFonts w:eastAsia="Times New Roman" w:cs="Times New Roman"/>
          <w:szCs w:val="20"/>
        </w:rPr>
      </w:pPr>
    </w:p>
    <w:p w14:paraId="62A6D4E3" w14:textId="77777777" w:rsidR="009856DE" w:rsidRPr="009856DE" w:rsidRDefault="009856DE" w:rsidP="009856DE">
      <w:pPr>
        <w:rPr>
          <w:rFonts w:eastAsia="Times New Roman" w:cs="Times New Roman"/>
          <w:szCs w:val="20"/>
        </w:rPr>
      </w:pPr>
    </w:p>
    <w:p w14:paraId="3C48B3DC" w14:textId="77777777" w:rsidR="009856DE" w:rsidRPr="009856DE" w:rsidRDefault="009856DE" w:rsidP="009856DE">
      <w:pPr>
        <w:rPr>
          <w:rFonts w:eastAsia="Times New Roman" w:cs="Times New Roman"/>
          <w:szCs w:val="20"/>
        </w:rPr>
      </w:pPr>
    </w:p>
    <w:p w14:paraId="575553E6" w14:textId="77777777" w:rsidR="009856DE" w:rsidRPr="009856DE" w:rsidRDefault="009856DE" w:rsidP="009856DE">
      <w:pPr>
        <w:rPr>
          <w:rFonts w:eastAsia="Times New Roman" w:cs="Times New Roman"/>
          <w:szCs w:val="20"/>
        </w:rPr>
      </w:pPr>
    </w:p>
    <w:p w14:paraId="7DBA3651" w14:textId="77777777" w:rsidR="009856DE" w:rsidRPr="009856DE" w:rsidRDefault="009856DE" w:rsidP="009856DE">
      <w:pPr>
        <w:rPr>
          <w:rFonts w:eastAsia="Times New Roman" w:cs="Times New Roman"/>
          <w:szCs w:val="20"/>
        </w:rPr>
      </w:pPr>
    </w:p>
    <w:p w14:paraId="2B0C3DE8" w14:textId="77777777" w:rsidR="009856DE" w:rsidRPr="009856DE" w:rsidRDefault="009856DE" w:rsidP="009856DE">
      <w:pPr>
        <w:rPr>
          <w:rFonts w:eastAsia="Times New Roman" w:cs="Times New Roman"/>
          <w:szCs w:val="20"/>
        </w:rPr>
      </w:pPr>
    </w:p>
    <w:p w14:paraId="642F10AD" w14:textId="77777777" w:rsidR="009856DE" w:rsidRPr="009856DE" w:rsidRDefault="009856DE" w:rsidP="009856DE">
      <w:pPr>
        <w:rPr>
          <w:rFonts w:eastAsia="Times New Roman" w:cs="Times New Roman"/>
          <w:szCs w:val="20"/>
        </w:rPr>
      </w:pPr>
    </w:p>
    <w:p w14:paraId="12BDA018" w14:textId="77777777" w:rsidR="009856DE" w:rsidRPr="009856DE" w:rsidRDefault="009856DE" w:rsidP="009856DE">
      <w:pPr>
        <w:rPr>
          <w:rFonts w:eastAsia="Times New Roman" w:cs="Times New Roman"/>
          <w:szCs w:val="20"/>
        </w:rPr>
      </w:pPr>
    </w:p>
    <w:p w14:paraId="71E0051C" w14:textId="77777777" w:rsidR="009856DE" w:rsidRPr="009856DE" w:rsidRDefault="009856DE" w:rsidP="009856DE">
      <w:pPr>
        <w:rPr>
          <w:rFonts w:eastAsia="Times New Roman" w:cs="Times New Roman"/>
          <w:szCs w:val="20"/>
        </w:rPr>
      </w:pPr>
    </w:p>
    <w:p w14:paraId="01EBB333" w14:textId="77777777" w:rsidR="009856DE" w:rsidRPr="009856DE" w:rsidRDefault="009856DE" w:rsidP="009856DE">
      <w:pPr>
        <w:rPr>
          <w:rFonts w:eastAsia="Times New Roman" w:cs="Times New Roman"/>
          <w:szCs w:val="20"/>
        </w:rPr>
      </w:pPr>
    </w:p>
    <w:p w14:paraId="08F3D853" w14:textId="77777777" w:rsidR="009856DE" w:rsidRPr="009856DE" w:rsidRDefault="009856DE" w:rsidP="009856DE">
      <w:pPr>
        <w:rPr>
          <w:rFonts w:eastAsia="Times New Roman" w:cs="Times New Roman"/>
          <w:szCs w:val="20"/>
        </w:rPr>
      </w:pPr>
    </w:p>
    <w:p w14:paraId="664DEB2C" w14:textId="77777777" w:rsidR="009856DE" w:rsidRPr="009856DE" w:rsidRDefault="009856DE" w:rsidP="009856DE">
      <w:pPr>
        <w:rPr>
          <w:rFonts w:eastAsia="Times New Roman" w:cs="Times New Roman"/>
          <w:szCs w:val="20"/>
        </w:rPr>
      </w:pPr>
    </w:p>
    <w:p w14:paraId="06DC5038" w14:textId="77777777" w:rsidR="009856DE" w:rsidRPr="009856DE" w:rsidRDefault="009856DE" w:rsidP="009856DE">
      <w:pPr>
        <w:rPr>
          <w:rFonts w:eastAsia="Times New Roman" w:cs="Times New Roman"/>
          <w:szCs w:val="20"/>
        </w:rPr>
      </w:pPr>
    </w:p>
    <w:p w14:paraId="4D72B326" w14:textId="77777777" w:rsidR="009856DE" w:rsidRPr="009856DE" w:rsidRDefault="009856DE" w:rsidP="009856DE">
      <w:pPr>
        <w:rPr>
          <w:rFonts w:eastAsia="Times New Roman" w:cs="Times New Roman"/>
          <w:szCs w:val="20"/>
        </w:rPr>
      </w:pPr>
    </w:p>
    <w:p w14:paraId="3E82758A" w14:textId="77777777" w:rsidR="009856DE" w:rsidRPr="009856DE" w:rsidRDefault="009856DE" w:rsidP="009856DE">
      <w:pPr>
        <w:rPr>
          <w:rFonts w:eastAsia="Times New Roman" w:cs="Times New Roman"/>
          <w:szCs w:val="20"/>
        </w:rPr>
      </w:pPr>
    </w:p>
    <w:p w14:paraId="2238B31C" w14:textId="743C0DEA" w:rsidR="009856DE" w:rsidRPr="009856DE" w:rsidRDefault="009856DE" w:rsidP="009856DE">
      <w:pPr>
        <w:tabs>
          <w:tab w:val="left" w:pos="2145"/>
        </w:tabs>
        <w:rPr>
          <w:rFonts w:eastAsia="Times New Roman" w:cs="Times New Roman"/>
          <w:szCs w:val="20"/>
        </w:rPr>
      </w:pPr>
      <w:r>
        <w:rPr>
          <w:rFonts w:eastAsia="Times New Roman" w:cs="Times New Roman"/>
          <w:szCs w:val="20"/>
        </w:rPr>
        <w:tab/>
      </w:r>
    </w:p>
    <w:p w14:paraId="4C4BDD6B" w14:textId="2DE4164F" w:rsidR="00DC7253" w:rsidRPr="009856DE" w:rsidRDefault="00DC7253" w:rsidP="009856DE">
      <w:pPr>
        <w:rPr>
          <w:rFonts w:eastAsia="Times New Roman" w:cs="Times New Roman"/>
          <w:szCs w:val="20"/>
        </w:rPr>
      </w:pPr>
    </w:p>
    <w:sectPr w:rsidR="00DC7253" w:rsidRPr="009856DE" w:rsidSect="00A15E59">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E9F1" w14:textId="77777777" w:rsidR="000B7A1E" w:rsidRDefault="000B7A1E">
      <w:pPr>
        <w:spacing w:after="0" w:line="240" w:lineRule="auto"/>
      </w:pPr>
      <w:r>
        <w:separator/>
      </w:r>
    </w:p>
  </w:endnote>
  <w:endnote w:type="continuationSeparator" w:id="0">
    <w:p w14:paraId="7BCAF893" w14:textId="77777777" w:rsidR="000B7A1E" w:rsidRDefault="000B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088A" w14:textId="77777777" w:rsidR="008F29DA" w:rsidRDefault="008F2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8"/>
      <w:gridCol w:w="6072"/>
    </w:tblGrid>
    <w:tr w:rsidR="00A15E59" w:rsidRPr="00CD22C5" w14:paraId="2BC013BD" w14:textId="77777777" w:rsidTr="007A30FA">
      <w:trPr>
        <w:jc w:val="center"/>
      </w:trPr>
      <w:tc>
        <w:tcPr>
          <w:tcW w:w="3348" w:type="dxa"/>
          <w:vAlign w:val="center"/>
        </w:tcPr>
        <w:p w14:paraId="5C9940E9" w14:textId="2FD06757"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51AFB">
            <w:rPr>
              <w:b w:val="0"/>
              <w:sz w:val="16"/>
              <w:szCs w:val="16"/>
            </w:rPr>
            <w:t>Procedures</w:t>
          </w:r>
        </w:p>
      </w:tc>
      <w:tc>
        <w:tcPr>
          <w:tcW w:w="6228" w:type="dxa"/>
          <w:vAlign w:val="center"/>
        </w:tcPr>
        <w:p w14:paraId="7E5C0887" w14:textId="77777777" w:rsidR="00A15E59" w:rsidRPr="009A1B8F" w:rsidRDefault="00BE4E7D" w:rsidP="00AA0D55">
          <w:pPr>
            <w:pStyle w:val="Footer"/>
            <w:tabs>
              <w:tab w:val="left" w:pos="1260"/>
            </w:tabs>
            <w:jc w:val="right"/>
            <w:rPr>
              <w:sz w:val="16"/>
              <w:szCs w:val="16"/>
            </w:rPr>
          </w:pPr>
          <w:r w:rsidRPr="00BE4E7D">
            <w:rPr>
              <w:sz w:val="16"/>
              <w:szCs w:val="16"/>
            </w:rPr>
            <w:t>CONSENT TO TRANSFER ASSISTIVE TECHNOLOGY DEVICES</w:t>
          </w:r>
        </w:p>
      </w:tc>
    </w:tr>
    <w:tr w:rsidR="00A15E59" w:rsidRPr="00CD22C5" w14:paraId="22AF49DD" w14:textId="77777777" w:rsidTr="007A30FA">
      <w:trPr>
        <w:jc w:val="center"/>
      </w:trPr>
      <w:tc>
        <w:tcPr>
          <w:tcW w:w="3348" w:type="dxa"/>
          <w:vAlign w:val="center"/>
        </w:tcPr>
        <w:p w14:paraId="02C1F455" w14:textId="3D106130"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F29DA" w:rsidRPr="009856DE">
            <w:rPr>
              <w:b w:val="0"/>
              <w:sz w:val="16"/>
              <w:szCs w:val="16"/>
            </w:rPr>
            <w:t>08/202</w:t>
          </w:r>
          <w:r w:rsidR="007A18C4">
            <w:rPr>
              <w:b w:val="0"/>
              <w:sz w:val="16"/>
              <w:szCs w:val="16"/>
            </w:rPr>
            <w:t>5</w:t>
          </w:r>
          <w:bookmarkStart w:id="0" w:name="_GoBack"/>
          <w:bookmarkEnd w:id="0"/>
        </w:p>
      </w:tc>
      <w:tc>
        <w:tcPr>
          <w:tcW w:w="6228" w:type="dxa"/>
          <w:vAlign w:val="center"/>
        </w:tcPr>
        <w:p w14:paraId="65C71CF8"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EC4FC2">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EC4FC2">
            <w:rPr>
              <w:b w:val="0"/>
              <w:noProof/>
              <w:sz w:val="16"/>
              <w:szCs w:val="16"/>
            </w:rPr>
            <w:t>2</w:t>
          </w:r>
          <w:r w:rsidRPr="00CD22C5">
            <w:rPr>
              <w:b w:val="0"/>
              <w:sz w:val="16"/>
              <w:szCs w:val="16"/>
            </w:rPr>
            <w:fldChar w:fldCharType="end"/>
          </w:r>
        </w:p>
      </w:tc>
    </w:tr>
  </w:tbl>
  <w:p w14:paraId="39B15FC1"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0DAC03D4" w14:textId="77777777" w:rsidTr="00CD22C5">
      <w:tc>
        <w:tcPr>
          <w:tcW w:w="4338" w:type="dxa"/>
          <w:vAlign w:val="center"/>
        </w:tcPr>
        <w:p w14:paraId="31498D2E"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6DB9D84D"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1A28BCD5" w14:textId="77777777" w:rsidTr="00CD22C5">
      <w:tc>
        <w:tcPr>
          <w:tcW w:w="4338" w:type="dxa"/>
          <w:vAlign w:val="center"/>
        </w:tcPr>
        <w:p w14:paraId="1B1B8740"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0A2074AD"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27E102C2"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4F142" w14:textId="77777777" w:rsidR="000B7A1E" w:rsidRDefault="000B7A1E">
      <w:pPr>
        <w:spacing w:after="0" w:line="240" w:lineRule="auto"/>
      </w:pPr>
      <w:r>
        <w:separator/>
      </w:r>
    </w:p>
  </w:footnote>
  <w:footnote w:type="continuationSeparator" w:id="0">
    <w:p w14:paraId="0384384C" w14:textId="77777777" w:rsidR="000B7A1E" w:rsidRDefault="000B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F241" w14:textId="77777777" w:rsidR="008F29DA" w:rsidRDefault="008F2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6ECCF99"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876216B"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251AFB">
            <w:rPr>
              <w:sz w:val="24"/>
            </w:rPr>
            <w:t>PROCEDURES</w:t>
          </w:r>
        </w:p>
      </w:tc>
    </w:tr>
    <w:tr w:rsidR="00A15E59" w:rsidRPr="00A15E59" w14:paraId="70A0A25A"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5E51697" w14:textId="77777777" w:rsidR="00727C62" w:rsidRPr="00A15E59" w:rsidRDefault="00BE4E7D" w:rsidP="00BE4E7D">
          <w:pPr>
            <w:pStyle w:val="Header"/>
            <w:spacing w:before="0"/>
            <w:jc w:val="center"/>
            <w:rPr>
              <w:sz w:val="24"/>
            </w:rPr>
          </w:pPr>
          <w:r>
            <w:rPr>
              <w:sz w:val="24"/>
            </w:rPr>
            <w:t>CONSENT TO TRANSFER ASSISTIVE TECHNOLOGY DEVICES</w:t>
          </w:r>
        </w:p>
      </w:tc>
    </w:tr>
    <w:tr w:rsidR="00A15E59" w:rsidRPr="00A15E59" w14:paraId="52582193"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5D814E81" w14:textId="39E1BCF4" w:rsidR="008F29DA" w:rsidRPr="00A15E59" w:rsidRDefault="008F29DA" w:rsidP="0017202D">
          <w:pPr>
            <w:pStyle w:val="Header"/>
            <w:spacing w:before="0"/>
            <w:jc w:val="left"/>
          </w:pPr>
          <w:r>
            <w:t>Robertson County Special Services</w:t>
          </w:r>
        </w:p>
      </w:tc>
      <w:tc>
        <w:tcPr>
          <w:tcW w:w="1710" w:type="dxa"/>
          <w:vAlign w:val="center"/>
        </w:tcPr>
        <w:p w14:paraId="44AD95C9" w14:textId="0F4B7DC5"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1A0CF147"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6FD8" w14:textId="77777777" w:rsidR="008F29DA" w:rsidRDefault="008F2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524163E"/>
    <w:multiLevelType w:val="hybridMultilevel"/>
    <w:tmpl w:val="04E0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8"/>
  </w:num>
  <w:num w:numId="15">
    <w:abstractNumId w:val="14"/>
  </w:num>
  <w:num w:numId="16">
    <w:abstractNumId w:val="13"/>
  </w:num>
  <w:num w:numId="17">
    <w:abstractNumId w:val="9"/>
  </w:num>
  <w:num w:numId="18">
    <w:abstractNumId w:val="15"/>
  </w:num>
  <w:num w:numId="19">
    <w:abstractNumId w:val="11"/>
  </w:num>
  <w:num w:numId="20">
    <w:abstractNumId w:val="19"/>
  </w:num>
  <w:num w:numId="21">
    <w:abstractNumId w:val="17"/>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B7A1E"/>
    <w:rsid w:val="000C084D"/>
    <w:rsid w:val="000C551A"/>
    <w:rsid w:val="000C6A76"/>
    <w:rsid w:val="000D4BC5"/>
    <w:rsid w:val="0010401E"/>
    <w:rsid w:val="00140EB8"/>
    <w:rsid w:val="001643A4"/>
    <w:rsid w:val="0017202D"/>
    <w:rsid w:val="001926E0"/>
    <w:rsid w:val="001B5EDF"/>
    <w:rsid w:val="001C6AC8"/>
    <w:rsid w:val="001E4ECB"/>
    <w:rsid w:val="002045E8"/>
    <w:rsid w:val="00251AFB"/>
    <w:rsid w:val="00271990"/>
    <w:rsid w:val="00287E6A"/>
    <w:rsid w:val="003144FD"/>
    <w:rsid w:val="003920EE"/>
    <w:rsid w:val="00426C23"/>
    <w:rsid w:val="00452D0C"/>
    <w:rsid w:val="00462709"/>
    <w:rsid w:val="00470F29"/>
    <w:rsid w:val="004C26A1"/>
    <w:rsid w:val="004E2A26"/>
    <w:rsid w:val="004F27C1"/>
    <w:rsid w:val="004F452C"/>
    <w:rsid w:val="00512E3A"/>
    <w:rsid w:val="005B4D80"/>
    <w:rsid w:val="00607554"/>
    <w:rsid w:val="00633C11"/>
    <w:rsid w:val="006853ED"/>
    <w:rsid w:val="00690EB4"/>
    <w:rsid w:val="006E3F0A"/>
    <w:rsid w:val="00727C62"/>
    <w:rsid w:val="007A18C4"/>
    <w:rsid w:val="007A30FA"/>
    <w:rsid w:val="007C7F0F"/>
    <w:rsid w:val="007D5D41"/>
    <w:rsid w:val="00831F03"/>
    <w:rsid w:val="00850B01"/>
    <w:rsid w:val="00884D94"/>
    <w:rsid w:val="00894CA1"/>
    <w:rsid w:val="008B4399"/>
    <w:rsid w:val="008E1425"/>
    <w:rsid w:val="008F29DA"/>
    <w:rsid w:val="008F656D"/>
    <w:rsid w:val="00924B11"/>
    <w:rsid w:val="009415A3"/>
    <w:rsid w:val="00962988"/>
    <w:rsid w:val="00976E6E"/>
    <w:rsid w:val="00980EAE"/>
    <w:rsid w:val="009856DE"/>
    <w:rsid w:val="00996831"/>
    <w:rsid w:val="00A15E59"/>
    <w:rsid w:val="00A37A4C"/>
    <w:rsid w:val="00AA0D55"/>
    <w:rsid w:val="00AF4B0B"/>
    <w:rsid w:val="00BE4D54"/>
    <w:rsid w:val="00BE4E7D"/>
    <w:rsid w:val="00BF06FA"/>
    <w:rsid w:val="00C24BAB"/>
    <w:rsid w:val="00C2558A"/>
    <w:rsid w:val="00C52250"/>
    <w:rsid w:val="00C6562F"/>
    <w:rsid w:val="00CC392C"/>
    <w:rsid w:val="00CD22C5"/>
    <w:rsid w:val="00CE5EEE"/>
    <w:rsid w:val="00D100AD"/>
    <w:rsid w:val="00D45E93"/>
    <w:rsid w:val="00D46B8E"/>
    <w:rsid w:val="00D54A17"/>
    <w:rsid w:val="00D63FD3"/>
    <w:rsid w:val="00DB231F"/>
    <w:rsid w:val="00DC7253"/>
    <w:rsid w:val="00DF5B9C"/>
    <w:rsid w:val="00E00450"/>
    <w:rsid w:val="00E009AB"/>
    <w:rsid w:val="00E164D4"/>
    <w:rsid w:val="00E20AB4"/>
    <w:rsid w:val="00E21132"/>
    <w:rsid w:val="00E30FC1"/>
    <w:rsid w:val="00E313E5"/>
    <w:rsid w:val="00E37D8B"/>
    <w:rsid w:val="00E514A4"/>
    <w:rsid w:val="00EB5DB9"/>
    <w:rsid w:val="00EC4FC2"/>
    <w:rsid w:val="00ED5C01"/>
    <w:rsid w:val="00EE1684"/>
    <w:rsid w:val="00EE1F1C"/>
    <w:rsid w:val="00F04CEA"/>
    <w:rsid w:val="00F11CFF"/>
    <w:rsid w:val="00F565D7"/>
    <w:rsid w:val="00F90F60"/>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E8733"/>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character" w:styleId="UnresolvedMention">
    <w:name w:val="Unresolved Mention"/>
    <w:basedOn w:val="DefaultParagraphFont"/>
    <w:uiPriority w:val="99"/>
    <w:semiHidden/>
    <w:unhideWhenUsed/>
    <w:rsid w:val="00D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66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91&amp;DT=G&amp;LID=en" TargetMode="External"/><Relationship Id="rId13" Type="http://schemas.openxmlformats.org/officeDocument/2006/relationships/hyperlink" Target="https://tea.texas.gov/sites/default/files/UniformTransferAgreement%5B1%5D.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ea.texas.gov/WorkArea/linkit.aspx?LinkIdentifier=id&amp;ItemID=2147497564&amp;libID=214749756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mework.esc18.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cfr.gov/cgi-bin/text-idx?node=se2.1.200_1313&amp;rgn=div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fw.esc18.net/FrameworkAuthoringSystem/Documents/AdditionalResources/OSEP%20Letter%20to%20Goodman%206.21.1998.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F5263B2-CBC5-47BA-BD0B-DCDA526F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9</cp:revision>
  <cp:lastPrinted>2016-03-01T22:06:00Z</cp:lastPrinted>
  <dcterms:created xsi:type="dcterms:W3CDTF">2020-09-16T13:48:00Z</dcterms:created>
  <dcterms:modified xsi:type="dcterms:W3CDTF">2025-10-27T14:55:00Z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