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2FDFC" w14:textId="77777777" w:rsidR="002045E8" w:rsidRDefault="002045E8" w:rsidP="002045E8">
      <w:pPr>
        <w:spacing w:after="0" w:line="240" w:lineRule="auto"/>
        <w:rPr>
          <w:szCs w:val="20"/>
        </w:rPr>
      </w:pPr>
    </w:p>
    <w:p w14:paraId="4856A76E"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D60779">
          <w:rPr>
            <w:rStyle w:val="Hyperlink"/>
            <w:color w:val="0000FF"/>
            <w:szCs w:val="20"/>
          </w:rPr>
          <w:t>Distribution of State Special Education Funds to LEAs</w:t>
        </w:r>
      </w:hyperlink>
      <w:r w:rsidRPr="008E1425">
        <w:rPr>
          <w:color w:val="000000" w:themeColor="text1"/>
          <w:szCs w:val="20"/>
        </w:rPr>
        <w:t xml:space="preserve"> </w:t>
      </w:r>
    </w:p>
    <w:p w14:paraId="3F61FC9B"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Funding</w:t>
      </w:r>
      <w:r w:rsidR="009415A3" w:rsidRPr="008E1425">
        <w:rPr>
          <w:color w:val="000000" w:themeColor="text1"/>
          <w:szCs w:val="20"/>
        </w:rPr>
        <w:t xml:space="preserve"> </w:t>
      </w:r>
      <w:r w:rsidR="009415A3">
        <w:rPr>
          <w:color w:val="000099"/>
          <w:szCs w:val="20"/>
        </w:rPr>
        <w:tab/>
      </w:r>
      <w:r w:rsidR="00890931">
        <w:rPr>
          <w:color w:val="000000" w:themeColor="text1"/>
          <w:sz w:val="12"/>
          <w:szCs w:val="12"/>
        </w:rPr>
        <w:t xml:space="preserve">Template update </w:t>
      </w:r>
      <w:r w:rsidR="000272B0">
        <w:rPr>
          <w:color w:val="000000" w:themeColor="text1"/>
          <w:sz w:val="12"/>
          <w:szCs w:val="12"/>
        </w:rPr>
        <w:t>Feb 2018</w:t>
      </w:r>
    </w:p>
    <w:p w14:paraId="2D249163" w14:textId="77777777" w:rsidR="000C551A" w:rsidRPr="009415A3" w:rsidRDefault="000C551A" w:rsidP="00FC4DAA">
      <w:pPr>
        <w:spacing w:after="0" w:line="240" w:lineRule="auto"/>
        <w:rPr>
          <w:color w:val="000000" w:themeColor="text1"/>
        </w:rPr>
      </w:pPr>
    </w:p>
    <w:p w14:paraId="6EEA5CF4" w14:textId="77777777" w:rsidR="00755ED8" w:rsidRDefault="00755ED8" w:rsidP="00D60779">
      <w:pPr>
        <w:spacing w:after="0" w:line="240" w:lineRule="auto"/>
        <w:jc w:val="both"/>
        <w:rPr>
          <w:rFonts w:eastAsia="Times New Roman" w:cs="Times New Roman"/>
          <w:b/>
          <w:color w:val="auto"/>
          <w:szCs w:val="20"/>
          <w:u w:val="single"/>
        </w:rPr>
      </w:pPr>
      <w:r w:rsidRPr="004512A5">
        <w:rPr>
          <w:rFonts w:eastAsia="Times New Roman" w:cs="Times New Roman"/>
          <w:b/>
          <w:color w:val="auto"/>
          <w:szCs w:val="20"/>
          <w:u w:val="single"/>
        </w:rPr>
        <w:t>Application Guidance</w:t>
      </w:r>
    </w:p>
    <w:p w14:paraId="2FFCDC40" w14:textId="77777777" w:rsidR="004512A5" w:rsidRPr="004512A5" w:rsidRDefault="004512A5" w:rsidP="00D60779">
      <w:pPr>
        <w:spacing w:after="0" w:line="240" w:lineRule="auto"/>
        <w:jc w:val="both"/>
        <w:rPr>
          <w:rFonts w:eastAsia="Times New Roman" w:cs="Times New Roman"/>
          <w:b/>
          <w:color w:val="auto"/>
          <w:szCs w:val="20"/>
          <w:u w:val="single"/>
        </w:rPr>
      </w:pPr>
    </w:p>
    <w:p w14:paraId="129A5467" w14:textId="77777777" w:rsidR="00D60779" w:rsidRPr="004512A5" w:rsidRDefault="00A13D6A" w:rsidP="004512A5">
      <w:pPr>
        <w:pStyle w:val="ListParagraph"/>
        <w:numPr>
          <w:ilvl w:val="0"/>
          <w:numId w:val="18"/>
        </w:numPr>
        <w:spacing w:after="0" w:line="240" w:lineRule="auto"/>
        <w:jc w:val="both"/>
        <w:rPr>
          <w:rFonts w:eastAsia="Times New Roman" w:cs="Times New Roman"/>
          <w:color w:val="auto"/>
          <w:szCs w:val="20"/>
        </w:rPr>
      </w:pPr>
      <w:hyperlink r:id="rId9" w:history="1">
        <w:r w:rsidR="00D60779" w:rsidRPr="004512A5">
          <w:rPr>
            <w:rStyle w:val="Hyperlink"/>
            <w:rFonts w:eastAsia="Times New Roman" w:cs="Times New Roman"/>
            <w:color w:val="0000FF"/>
            <w:szCs w:val="20"/>
          </w:rPr>
          <w:t>Student Attendance Accounting Handbook</w:t>
        </w:r>
      </w:hyperlink>
      <w:r w:rsidR="00D60779" w:rsidRPr="004512A5">
        <w:rPr>
          <w:rFonts w:eastAsia="Times New Roman" w:cs="Times New Roman"/>
          <w:color w:val="auto"/>
          <w:szCs w:val="20"/>
        </w:rPr>
        <w:t xml:space="preserve"> </w:t>
      </w:r>
      <w:r w:rsidR="00755ED8" w:rsidRPr="004512A5">
        <w:rPr>
          <w:rFonts w:eastAsia="Times New Roman" w:cs="Times New Roman"/>
          <w:color w:val="auto"/>
          <w:szCs w:val="20"/>
        </w:rPr>
        <w:t xml:space="preserve">(TEA) </w:t>
      </w:r>
    </w:p>
    <w:p w14:paraId="45A49C07" w14:textId="77777777" w:rsidR="00B95F2D" w:rsidRPr="00462709" w:rsidRDefault="00B95F2D" w:rsidP="00B95F2D">
      <w:pPr>
        <w:spacing w:after="0" w:line="240" w:lineRule="auto"/>
        <w:jc w:val="both"/>
        <w:rPr>
          <w:rFonts w:eastAsia="Times New Roman" w:cs="Times New Roman"/>
          <w:color w:val="auto"/>
          <w:szCs w:val="20"/>
        </w:rPr>
      </w:pPr>
    </w:p>
    <w:p w14:paraId="5702A39D" w14:textId="64932FF9"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 xml:space="preserve">Through the implementation of the </w:t>
      </w:r>
      <w:r w:rsidR="001220B7">
        <w:rPr>
          <w:rFonts w:eastAsia="Times New Roman" w:cs="Times New Roman"/>
          <w:color w:val="auto"/>
          <w:szCs w:val="20"/>
        </w:rPr>
        <w:t xml:space="preserve">member district </w:t>
      </w:r>
      <w:r w:rsidRPr="004E2A26">
        <w:rPr>
          <w:rFonts w:eastAsia="Times New Roman" w:cs="Times New Roman"/>
          <w:color w:val="auto"/>
          <w:szCs w:val="20"/>
        </w:rPr>
        <w:t xml:space="preserve">policies and procedures as outlined in the </w:t>
      </w:r>
      <w:hyperlink r:id="rId10"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w:t>
      </w:r>
      <w:r w:rsidR="001220B7">
        <w:rPr>
          <w:rFonts w:eastAsia="Times New Roman" w:cs="Times New Roman"/>
          <w:color w:val="auto"/>
          <w:szCs w:val="20"/>
        </w:rPr>
        <w:t xml:space="preserve"> member district</w:t>
      </w:r>
      <w:r w:rsidRPr="004E2A26">
        <w:rPr>
          <w:rFonts w:eastAsia="Times New Roman" w:cs="Times New Roman"/>
          <w:color w:val="auto"/>
          <w:szCs w:val="20"/>
        </w:rPr>
        <w:t xml:space="preserve"> </w:t>
      </w:r>
      <w:r w:rsidR="00D60779" w:rsidRPr="00D60779">
        <w:rPr>
          <w:rFonts w:eastAsia="Times New Roman" w:cs="Times New Roman"/>
          <w:color w:val="auto"/>
          <w:szCs w:val="20"/>
        </w:rPr>
        <w:t xml:space="preserve">ensures that it has in place an attendance accounting system and other procedures so that </w:t>
      </w:r>
      <w:r w:rsidR="00D60779">
        <w:rPr>
          <w:rFonts w:eastAsia="Times New Roman" w:cs="Times New Roman"/>
          <w:color w:val="auto"/>
          <w:szCs w:val="20"/>
        </w:rPr>
        <w:t>s</w:t>
      </w:r>
      <w:r w:rsidR="00D60779" w:rsidRPr="00D60779">
        <w:rPr>
          <w:rFonts w:eastAsia="Times New Roman" w:cs="Times New Roman"/>
          <w:color w:val="auto"/>
          <w:szCs w:val="20"/>
        </w:rPr>
        <w:t xml:space="preserve">tate special education funds are properly distributed as required by the </w:t>
      </w:r>
      <w:r w:rsidR="00890931">
        <w:rPr>
          <w:rFonts w:eastAsia="Times New Roman" w:cs="Times New Roman"/>
          <w:color w:val="auto"/>
          <w:szCs w:val="20"/>
        </w:rPr>
        <w:t>Individuals with Disabilities Education Act (</w:t>
      </w:r>
      <w:r w:rsidR="00D60779" w:rsidRPr="00D60779">
        <w:rPr>
          <w:rFonts w:eastAsia="Times New Roman" w:cs="Times New Roman"/>
          <w:color w:val="auto"/>
          <w:szCs w:val="20"/>
        </w:rPr>
        <w:t>IDEA</w:t>
      </w:r>
      <w:r w:rsidR="00890931">
        <w:rPr>
          <w:rFonts w:eastAsia="Times New Roman" w:cs="Times New Roman"/>
          <w:color w:val="auto"/>
          <w:szCs w:val="20"/>
        </w:rPr>
        <w:t>)</w:t>
      </w:r>
      <w:r w:rsidR="00D60779" w:rsidRPr="00D60779">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414CF8AC" w14:textId="77777777" w:rsidR="00DB231F" w:rsidRDefault="00A13D6A" w:rsidP="009415A3">
      <w:pPr>
        <w:spacing w:after="0" w:line="240" w:lineRule="auto"/>
        <w:rPr>
          <w:szCs w:val="20"/>
        </w:rPr>
      </w:pPr>
      <w:r>
        <w:rPr>
          <w:szCs w:val="20"/>
        </w:rPr>
        <w:pict w14:anchorId="68455196">
          <v:rect id="_x0000_i1025" style="width:468pt;height:3pt" o:hralign="center" o:hrstd="t" o:hrnoshade="t" o:hr="t" fillcolor="#0f3966 [3204]" stroked="f"/>
        </w:pict>
      </w:r>
    </w:p>
    <w:p w14:paraId="61D51C96" w14:textId="433EEC7B" w:rsidR="00DE6162" w:rsidRDefault="005C6B54" w:rsidP="00850B01">
      <w:pPr>
        <w:spacing w:after="0" w:line="240" w:lineRule="auto"/>
        <w:rPr>
          <w:color w:val="auto"/>
          <w:u w:val="single"/>
        </w:rPr>
      </w:pPr>
      <w:r w:rsidRPr="005C6B54">
        <w:rPr>
          <w:color w:val="auto"/>
          <w:u w:val="single"/>
        </w:rPr>
        <w:t>Federal and State Requirement</w:t>
      </w:r>
    </w:p>
    <w:p w14:paraId="1473DA7E" w14:textId="144B7CB0" w:rsidR="00DE6162" w:rsidRPr="0034508F" w:rsidRDefault="005C6B54" w:rsidP="00850B01">
      <w:pPr>
        <w:spacing w:after="0" w:line="240" w:lineRule="auto"/>
        <w:rPr>
          <w:color w:val="auto"/>
        </w:rPr>
      </w:pPr>
      <w:r>
        <w:rPr>
          <w:color w:val="auto"/>
        </w:rPr>
        <w:t>Public Education Information Management System (PEIMS)</w:t>
      </w:r>
      <w:r w:rsidR="00DE6162" w:rsidRPr="0034508F">
        <w:rPr>
          <w:color w:val="auto"/>
        </w:rPr>
        <w:t xml:space="preserve"> </w:t>
      </w:r>
    </w:p>
    <w:p w14:paraId="40772244" w14:textId="379F4E04" w:rsidR="00DE6162" w:rsidRDefault="00DE6162" w:rsidP="00850B01">
      <w:pPr>
        <w:spacing w:after="0" w:line="240" w:lineRule="auto"/>
        <w:rPr>
          <w:color w:val="auto"/>
        </w:rPr>
      </w:pPr>
      <w:r w:rsidRPr="0034508F">
        <w:rPr>
          <w:color w:val="auto"/>
        </w:rPr>
        <w:t xml:space="preserve">Each local educational agency (LEA) will use a uniform accounting system adopted by the commissioner for the data required to be reported in PEIMS. </w:t>
      </w:r>
    </w:p>
    <w:p w14:paraId="2FD41B13" w14:textId="1D6E9D90" w:rsidR="00DE6162" w:rsidRPr="0034508F" w:rsidRDefault="005C6B54" w:rsidP="00850B01">
      <w:pPr>
        <w:spacing w:after="0" w:line="240" w:lineRule="auto"/>
        <w:rPr>
          <w:color w:val="auto"/>
        </w:rPr>
      </w:pPr>
      <w:r>
        <w:rPr>
          <w:color w:val="auto"/>
        </w:rPr>
        <w:t>Average Daily Attendance</w:t>
      </w:r>
      <w:r w:rsidR="00DE6162" w:rsidRPr="0034508F">
        <w:rPr>
          <w:color w:val="auto"/>
        </w:rPr>
        <w:t xml:space="preserve"> (ADA) </w:t>
      </w:r>
    </w:p>
    <w:p w14:paraId="4C60E886" w14:textId="09C6EF39" w:rsidR="00DE6162" w:rsidRPr="0034508F" w:rsidRDefault="00DE6162" w:rsidP="00850B01">
      <w:pPr>
        <w:spacing w:after="0" w:line="240" w:lineRule="auto"/>
        <w:rPr>
          <w:color w:val="auto"/>
        </w:rPr>
      </w:pPr>
      <w:r w:rsidRPr="0034508F">
        <w:rPr>
          <w:color w:val="auto"/>
        </w:rPr>
        <w:t xml:space="preserve">Procedures for counting the ADA of children receiving special education services in various instructional settings are developed by the commissioner of education and included in the daily register for student attendance accounting. State special education funds are distributed to LEAs on the basis of ADA of full-time equivalents (FTEs) of eligible children served in accordance with the requirements for student attendance accounting for state funding purposes. </w:t>
      </w:r>
    </w:p>
    <w:p w14:paraId="744803CE" w14:textId="77777777" w:rsidR="00DE6162" w:rsidRPr="0034508F" w:rsidRDefault="00DE6162" w:rsidP="00850B01">
      <w:pPr>
        <w:spacing w:after="0" w:line="240" w:lineRule="auto"/>
        <w:rPr>
          <w:color w:val="auto"/>
        </w:rPr>
      </w:pPr>
      <w:r w:rsidRPr="0034508F">
        <w:rPr>
          <w:color w:val="auto"/>
        </w:rPr>
        <w:t xml:space="preserve">FTEs </w:t>
      </w:r>
    </w:p>
    <w:p w14:paraId="0D655759" w14:textId="77777777" w:rsidR="00DE6162" w:rsidRPr="0034508F" w:rsidRDefault="00DE6162" w:rsidP="00850B01">
      <w:pPr>
        <w:spacing w:after="0" w:line="240" w:lineRule="auto"/>
        <w:rPr>
          <w:color w:val="auto"/>
        </w:rPr>
      </w:pPr>
      <w:r w:rsidRPr="0034508F">
        <w:rPr>
          <w:color w:val="auto"/>
        </w:rPr>
        <w:t xml:space="preserve">The special education attendance in converted to contact hours by instructional arrangement and then to FTEs. The FTE for each instructional arrangement is multiplied by the LEA’s adjusted basic allotment or adjusted allotment (AA) and then multiplied by the weight for the instructional arrangement. Contact hours for any child receiving special education services may not exceed six hours per day or 30 hours per week for funding purposes. The total contact hours generated per week are divided by 30 to determine the FTEs. Special education FTEs generated are deducted from the LEA’s ADA for purposes of the regular education allotment. Funds generated by FTEs in one instructional arrangement may be spent on the overall special education program and are not limited to the instructional arrangement that generated the funds. For each FTE child in ADA in a special education program and in an instructional arrangement other than a mainstream instructional arrangement, the LEA is entitled to an annual allotment equal to the adjusted basis allotment multiplied by a weight determined according to instructional arrangement as follows: </w:t>
      </w:r>
    </w:p>
    <w:p w14:paraId="6149D38A" w14:textId="03D4A45D" w:rsidR="00850B01" w:rsidRPr="0034508F" w:rsidRDefault="00DE6162" w:rsidP="00850B01">
      <w:pPr>
        <w:spacing w:after="0" w:line="240" w:lineRule="auto"/>
        <w:rPr>
          <w:color w:val="auto"/>
        </w:rPr>
      </w:pPr>
      <w:r w:rsidRPr="0034508F">
        <w:rPr>
          <w:color w:val="auto"/>
        </w:rPr>
        <w:sym w:font="Symbol" w:char="F0B7"/>
      </w:r>
      <w:r w:rsidRPr="0034508F">
        <w:rPr>
          <w:color w:val="auto"/>
        </w:rPr>
        <w:t xml:space="preserve"> Funding for the mainstream special education instructional arrangement is based on the ADA of the children in the arrangement multiplied by the adjusted basic allotment or AA and 1.1 weight; but</w:t>
      </w:r>
    </w:p>
    <w:p w14:paraId="0FB22BA6" w14:textId="1E77B7DD" w:rsidR="00DE6162" w:rsidRPr="0034508F" w:rsidRDefault="00DE6162" w:rsidP="00850B01">
      <w:pPr>
        <w:spacing w:after="0" w:line="240" w:lineRule="auto"/>
        <w:rPr>
          <w:color w:val="auto"/>
        </w:rPr>
      </w:pPr>
      <w:r w:rsidRPr="0034508F">
        <w:rPr>
          <w:color w:val="auto"/>
        </w:rPr>
        <w:sym w:font="Symbol" w:char="F0B7"/>
      </w:r>
      <w:r w:rsidRPr="0034508F">
        <w:rPr>
          <w:color w:val="auto"/>
        </w:rPr>
        <w:t xml:space="preserve"> The attendance is not to be converted to contact hours/FTEs as with the other instructional arrangements.</w:t>
      </w:r>
    </w:p>
    <w:p w14:paraId="6805F7BF" w14:textId="77777777" w:rsidR="00DE6162" w:rsidRPr="0034508F" w:rsidRDefault="00DE6162" w:rsidP="00850B01">
      <w:pPr>
        <w:spacing w:after="0" w:line="240" w:lineRule="auto"/>
        <w:rPr>
          <w:color w:val="auto"/>
        </w:rPr>
      </w:pPr>
      <w:r w:rsidRPr="0034508F">
        <w:rPr>
          <w:color w:val="auto"/>
        </w:rPr>
        <w:t xml:space="preserve">For funding </w:t>
      </w:r>
      <w:proofErr w:type="gramStart"/>
      <w:r w:rsidRPr="0034508F">
        <w:rPr>
          <w:color w:val="auto"/>
        </w:rPr>
        <w:t>purposes</w:t>
      </w:r>
      <w:proofErr w:type="gramEnd"/>
      <w:r w:rsidRPr="0034508F">
        <w:rPr>
          <w:color w:val="auto"/>
        </w:rPr>
        <w:t xml:space="preserve"> the contact hours credited per day for the child in the resource room; self-contained, mild and moderate; and self-contained severe, instructional arrangements may not exceed the average of the statewide total contact hours credited per day for those three instructional arrangements in the 1992- 1993 school year. </w:t>
      </w:r>
    </w:p>
    <w:p w14:paraId="1CA70E79" w14:textId="10D9541E" w:rsidR="001C7873" w:rsidRPr="0034508F" w:rsidRDefault="00DE6162" w:rsidP="00850B01">
      <w:pPr>
        <w:spacing w:after="0" w:line="240" w:lineRule="auto"/>
        <w:rPr>
          <w:color w:val="auto"/>
        </w:rPr>
      </w:pPr>
      <w:r w:rsidRPr="0034508F">
        <w:rPr>
          <w:color w:val="auto"/>
        </w:rPr>
        <w:lastRenderedPageBreak/>
        <w:t xml:space="preserve">For funding </w:t>
      </w:r>
      <w:proofErr w:type="gramStart"/>
      <w:r w:rsidRPr="0034508F">
        <w:rPr>
          <w:color w:val="auto"/>
        </w:rPr>
        <w:t>purposes</w:t>
      </w:r>
      <w:proofErr w:type="gramEnd"/>
      <w:r w:rsidRPr="0034508F">
        <w:rPr>
          <w:color w:val="auto"/>
        </w:rPr>
        <w:t xml:space="preserve"> the contact hours credited per day for the child in the off-home campus instructional arrangement may not exceed the contact hours credited per day for the multidistrict class instructional arrangement in the 1992-1993 school year.</w:t>
      </w:r>
    </w:p>
    <w:p w14:paraId="7C7CB3E6" w14:textId="77777777" w:rsidR="001C26F1" w:rsidRPr="0034508F" w:rsidRDefault="001C26F1" w:rsidP="00850B01">
      <w:pPr>
        <w:spacing w:after="0" w:line="240" w:lineRule="auto"/>
        <w:rPr>
          <w:color w:val="auto"/>
        </w:rPr>
      </w:pPr>
    </w:p>
    <w:p w14:paraId="60F0F7EE" w14:textId="77777777" w:rsidR="001C26F1" w:rsidRPr="0034508F" w:rsidRDefault="00DE6162" w:rsidP="00850B01">
      <w:pPr>
        <w:spacing w:after="0" w:line="240" w:lineRule="auto"/>
        <w:rPr>
          <w:color w:val="auto"/>
        </w:rPr>
      </w:pPr>
      <w:r w:rsidRPr="0034508F">
        <w:rPr>
          <w:color w:val="auto"/>
        </w:rPr>
        <w:sym w:font="Symbol" w:char="F0B7"/>
      </w:r>
      <w:r w:rsidRPr="0034508F">
        <w:rPr>
          <w:color w:val="auto"/>
        </w:rPr>
        <w:t xml:space="preserve"> For each FTE in ADA in a special education program in an instructional arrangement other than a mainstream instructional arrangement, the LEA is entitled to an annual allotment equal to the adjusted basic allotment multiplied by a weight determined according to instructional arrangement as follows: </w:t>
      </w:r>
    </w:p>
    <w:p w14:paraId="7F1079C8" w14:textId="77777777" w:rsidR="001C26F1" w:rsidRPr="0034508F" w:rsidRDefault="00DE6162" w:rsidP="0025308E">
      <w:pPr>
        <w:spacing w:after="0" w:line="240" w:lineRule="auto"/>
        <w:ind w:firstLine="720"/>
        <w:rPr>
          <w:color w:val="auto"/>
        </w:rPr>
      </w:pPr>
      <w:r w:rsidRPr="0034508F">
        <w:rPr>
          <w:color w:val="auto"/>
        </w:rPr>
        <w:t xml:space="preserve">o Homebound 5.0; </w:t>
      </w:r>
    </w:p>
    <w:p w14:paraId="1102EA0C" w14:textId="77777777" w:rsidR="001C26F1" w:rsidRPr="0034508F" w:rsidRDefault="00DE6162" w:rsidP="0025308E">
      <w:pPr>
        <w:spacing w:after="0" w:line="240" w:lineRule="auto"/>
        <w:ind w:firstLine="720"/>
        <w:rPr>
          <w:color w:val="auto"/>
        </w:rPr>
      </w:pPr>
      <w:r w:rsidRPr="0034508F">
        <w:rPr>
          <w:color w:val="auto"/>
        </w:rPr>
        <w:t xml:space="preserve">o Hospital Class 3.0; </w:t>
      </w:r>
    </w:p>
    <w:p w14:paraId="2D626B68" w14:textId="77777777" w:rsidR="001C26F1" w:rsidRPr="0034508F" w:rsidRDefault="00DE6162" w:rsidP="0025308E">
      <w:pPr>
        <w:spacing w:after="0" w:line="240" w:lineRule="auto"/>
        <w:ind w:firstLine="720"/>
        <w:rPr>
          <w:color w:val="auto"/>
        </w:rPr>
      </w:pPr>
      <w:r w:rsidRPr="0034508F">
        <w:rPr>
          <w:color w:val="auto"/>
        </w:rPr>
        <w:t xml:space="preserve">o Speech Therapy 5.0; </w:t>
      </w:r>
    </w:p>
    <w:p w14:paraId="4DE7538B" w14:textId="77777777" w:rsidR="001C26F1" w:rsidRPr="0034508F" w:rsidRDefault="00DE6162" w:rsidP="0025308E">
      <w:pPr>
        <w:spacing w:after="0" w:line="240" w:lineRule="auto"/>
        <w:ind w:firstLine="720"/>
        <w:rPr>
          <w:color w:val="auto"/>
        </w:rPr>
      </w:pPr>
      <w:r w:rsidRPr="0034508F">
        <w:rPr>
          <w:color w:val="auto"/>
        </w:rPr>
        <w:t xml:space="preserve">o Resource Room 3.0; </w:t>
      </w:r>
    </w:p>
    <w:p w14:paraId="58921913" w14:textId="77777777" w:rsidR="001C26F1" w:rsidRPr="0034508F" w:rsidRDefault="00DE6162" w:rsidP="0025308E">
      <w:pPr>
        <w:spacing w:after="0" w:line="240" w:lineRule="auto"/>
        <w:ind w:firstLine="720"/>
        <w:rPr>
          <w:color w:val="auto"/>
        </w:rPr>
      </w:pPr>
      <w:r w:rsidRPr="0034508F">
        <w:rPr>
          <w:color w:val="auto"/>
        </w:rPr>
        <w:t xml:space="preserve">o Self-contained, mild and moderate, regular campus 3.0; </w:t>
      </w:r>
    </w:p>
    <w:p w14:paraId="52A4737F" w14:textId="77777777" w:rsidR="001C26F1" w:rsidRPr="0034508F" w:rsidRDefault="00DE6162" w:rsidP="0025308E">
      <w:pPr>
        <w:spacing w:after="0" w:line="240" w:lineRule="auto"/>
        <w:ind w:firstLine="720"/>
        <w:rPr>
          <w:color w:val="auto"/>
        </w:rPr>
      </w:pPr>
      <w:r w:rsidRPr="0034508F">
        <w:rPr>
          <w:color w:val="auto"/>
        </w:rPr>
        <w:t xml:space="preserve">o Self-contained severe, regular campus 3.0; </w:t>
      </w:r>
    </w:p>
    <w:p w14:paraId="4B23C5A1" w14:textId="77777777" w:rsidR="001C26F1" w:rsidRPr="0034508F" w:rsidRDefault="00DE6162" w:rsidP="0025308E">
      <w:pPr>
        <w:spacing w:after="0" w:line="240" w:lineRule="auto"/>
        <w:ind w:firstLine="720"/>
        <w:rPr>
          <w:color w:val="auto"/>
        </w:rPr>
      </w:pPr>
      <w:r w:rsidRPr="0034508F">
        <w:rPr>
          <w:color w:val="auto"/>
        </w:rPr>
        <w:t xml:space="preserve">o Off-home campus 2.7; o Nonpublic day school 1.7; and </w:t>
      </w:r>
    </w:p>
    <w:p w14:paraId="56F72984" w14:textId="77777777" w:rsidR="001C26F1" w:rsidRPr="0034508F" w:rsidRDefault="00DE6162" w:rsidP="0025308E">
      <w:pPr>
        <w:spacing w:after="0" w:line="240" w:lineRule="auto"/>
        <w:ind w:firstLine="720"/>
        <w:rPr>
          <w:color w:val="auto"/>
        </w:rPr>
      </w:pPr>
      <w:r w:rsidRPr="0034508F">
        <w:rPr>
          <w:color w:val="auto"/>
        </w:rPr>
        <w:t xml:space="preserve">o Vocational adjustment class 2.3. </w:t>
      </w:r>
    </w:p>
    <w:p w14:paraId="25CCF098" w14:textId="77777777" w:rsidR="001C26F1" w:rsidRPr="0034508F" w:rsidRDefault="001C26F1" w:rsidP="00850B01">
      <w:pPr>
        <w:spacing w:after="0" w:line="240" w:lineRule="auto"/>
        <w:rPr>
          <w:color w:val="auto"/>
        </w:rPr>
      </w:pPr>
    </w:p>
    <w:p w14:paraId="3ED4A833" w14:textId="630083CB" w:rsidR="001C26F1" w:rsidRPr="0034508F" w:rsidRDefault="00DE6162" w:rsidP="00850B01">
      <w:pPr>
        <w:spacing w:after="0" w:line="240" w:lineRule="auto"/>
        <w:rPr>
          <w:color w:val="auto"/>
        </w:rPr>
      </w:pPr>
      <w:r w:rsidRPr="0034508F">
        <w:rPr>
          <w:color w:val="auto"/>
        </w:rPr>
        <w:t xml:space="preserve">A special instructional arrangement for children with disabilities residing in care and treatment facilities, whose parents or guardians do not reside in the LEA providing education services must be established under the rules of the State Board of Education. </w:t>
      </w:r>
    </w:p>
    <w:p w14:paraId="2B79BC37" w14:textId="77777777" w:rsidR="001C26F1" w:rsidRPr="0034508F" w:rsidRDefault="00DE6162" w:rsidP="00850B01">
      <w:pPr>
        <w:spacing w:after="0" w:line="240" w:lineRule="auto"/>
        <w:rPr>
          <w:color w:val="auto"/>
        </w:rPr>
      </w:pPr>
      <w:r w:rsidRPr="0034508F">
        <w:rPr>
          <w:color w:val="auto"/>
        </w:rPr>
        <w:sym w:font="Symbol" w:char="F0B7"/>
      </w:r>
      <w:r w:rsidRPr="0034508F">
        <w:rPr>
          <w:color w:val="auto"/>
        </w:rPr>
        <w:t xml:space="preserve"> The funding weight for other than state schools will be 4.0 for those children who receive their education service on the LEA campus; but </w:t>
      </w:r>
    </w:p>
    <w:p w14:paraId="55E790EA" w14:textId="77777777" w:rsidR="003B49F0" w:rsidRPr="0034508F" w:rsidRDefault="00DE6162" w:rsidP="00850B01">
      <w:pPr>
        <w:spacing w:after="0" w:line="240" w:lineRule="auto"/>
        <w:rPr>
          <w:color w:val="auto"/>
        </w:rPr>
      </w:pPr>
      <w:r w:rsidRPr="0034508F">
        <w:rPr>
          <w:color w:val="auto"/>
        </w:rPr>
        <w:sym w:font="Symbol" w:char="F0B7"/>
      </w:r>
      <w:r w:rsidRPr="0034508F">
        <w:rPr>
          <w:color w:val="auto"/>
        </w:rPr>
        <w:t xml:space="preserve"> The funding weight for children residing in state schools will be 2.8. </w:t>
      </w:r>
    </w:p>
    <w:p w14:paraId="748A994C" w14:textId="77777777" w:rsidR="003B49F0" w:rsidRPr="0034508F" w:rsidRDefault="003B49F0" w:rsidP="00850B01">
      <w:pPr>
        <w:spacing w:after="0" w:line="240" w:lineRule="auto"/>
        <w:rPr>
          <w:color w:val="auto"/>
        </w:rPr>
      </w:pPr>
    </w:p>
    <w:p w14:paraId="58025395" w14:textId="2FAF5632" w:rsidR="001C26F1" w:rsidRPr="0034508F" w:rsidRDefault="00DE6162" w:rsidP="00850B01">
      <w:pPr>
        <w:spacing w:after="0" w:line="240" w:lineRule="auto"/>
        <w:rPr>
          <w:color w:val="auto"/>
        </w:rPr>
      </w:pPr>
      <w:r w:rsidRPr="0034508F">
        <w:rPr>
          <w:color w:val="auto"/>
        </w:rPr>
        <w:t xml:space="preserve">The LEA that provides an extended school year (ESY) program is entitled to receive funds up to 75% of the applicable allotment for each FTE child in ADA, multiples by the amount designated for the child’s instructional arrangement for each day the program is provided and divided by the number of days in the minimum school year: </w:t>
      </w:r>
    </w:p>
    <w:p w14:paraId="71D55E71" w14:textId="7CA8F451" w:rsidR="00DE6162" w:rsidRPr="0034508F" w:rsidRDefault="00DE6162" w:rsidP="00850B01">
      <w:pPr>
        <w:spacing w:after="0" w:line="240" w:lineRule="auto"/>
        <w:rPr>
          <w:color w:val="auto"/>
        </w:rPr>
      </w:pPr>
      <w:r w:rsidRPr="0034508F">
        <w:rPr>
          <w:color w:val="auto"/>
        </w:rPr>
        <w:sym w:font="Symbol" w:char="F0B7"/>
      </w:r>
      <w:r w:rsidRPr="0034508F">
        <w:rPr>
          <w:color w:val="auto"/>
        </w:rPr>
        <w:t xml:space="preserve"> The LEA may use funds received for ESY only in providing an extended year program; and </w:t>
      </w:r>
      <w:r w:rsidRPr="0034508F">
        <w:rPr>
          <w:color w:val="auto"/>
        </w:rPr>
        <w:sym w:font="Symbol" w:char="F0B7"/>
      </w:r>
      <w:r w:rsidRPr="0034508F">
        <w:rPr>
          <w:color w:val="auto"/>
        </w:rPr>
        <w:t xml:space="preserve"> LEAs are not eligible for reimbursement for ESY services provided to children for reasons other than those set forth in the EXTENDED SCHOOL YEAR SERVICES framework</w:t>
      </w:r>
    </w:p>
    <w:p w14:paraId="78B1B724" w14:textId="54CBD9B0" w:rsidR="00AA7202" w:rsidRPr="0034508F" w:rsidRDefault="00AA7202" w:rsidP="00850B01">
      <w:pPr>
        <w:spacing w:after="0" w:line="240" w:lineRule="auto"/>
        <w:rPr>
          <w:rFonts w:eastAsia="Times New Roman" w:cs="Times New Roman"/>
          <w:color w:val="auto"/>
          <w:szCs w:val="20"/>
        </w:rPr>
      </w:pPr>
    </w:p>
    <w:p w14:paraId="2B6B0749" w14:textId="254BE773" w:rsidR="00AA7202" w:rsidRPr="0034508F" w:rsidRDefault="00AA7202" w:rsidP="00850B01">
      <w:pPr>
        <w:spacing w:after="0" w:line="240" w:lineRule="auto"/>
        <w:rPr>
          <w:color w:val="auto"/>
        </w:rPr>
      </w:pPr>
      <w:r w:rsidRPr="0034508F">
        <w:rPr>
          <w:color w:val="auto"/>
        </w:rPr>
        <w:t>Children from birth through age two with a visual or auditory impairment or both who are provided services by the LEA according to an individual family services plan are to be enrolled on the home or regional day school campus and are to be considered eligible for ADA on the same basis as other children receiving special education services. Children who are at least three but younger than 22 years of age on September 1 of the current scholastic year who participate in the regional day school program for the dead may be counted as part of the LEA’s ADA if they receive instruction from the LEA’s basic program for at least 50% of the school day.</w:t>
      </w:r>
    </w:p>
    <w:p w14:paraId="6BFADE99" w14:textId="123A79CA" w:rsidR="00AA7202" w:rsidRPr="0034508F" w:rsidRDefault="00AA7202" w:rsidP="00850B01">
      <w:pPr>
        <w:spacing w:after="0" w:line="240" w:lineRule="auto"/>
        <w:rPr>
          <w:rFonts w:eastAsia="Times New Roman" w:cs="Times New Roman"/>
          <w:color w:val="auto"/>
          <w:szCs w:val="20"/>
        </w:rPr>
      </w:pPr>
    </w:p>
    <w:p w14:paraId="3CB00E26" w14:textId="77777777" w:rsidR="00AA7202" w:rsidRPr="0034508F" w:rsidRDefault="00AA7202" w:rsidP="00850B01">
      <w:pPr>
        <w:spacing w:after="0" w:line="240" w:lineRule="auto"/>
        <w:rPr>
          <w:color w:val="auto"/>
        </w:rPr>
      </w:pPr>
      <w:r w:rsidRPr="0034508F">
        <w:rPr>
          <w:color w:val="auto"/>
        </w:rPr>
        <w:t xml:space="preserve">The commissioner will withhold an amount specified in the General Appropriations Act and distribute that amount to LEAs that provide education solely to children confined to or education in hospitals: </w:t>
      </w:r>
    </w:p>
    <w:p w14:paraId="41A264CE" w14:textId="77777777" w:rsidR="00AA7202" w:rsidRPr="0034508F" w:rsidRDefault="00AA7202" w:rsidP="00E97003">
      <w:pPr>
        <w:spacing w:after="0" w:line="240" w:lineRule="auto"/>
        <w:ind w:left="720"/>
        <w:rPr>
          <w:color w:val="auto"/>
        </w:rPr>
      </w:pPr>
      <w:r w:rsidRPr="0034508F">
        <w:rPr>
          <w:color w:val="auto"/>
        </w:rPr>
        <w:sym w:font="Symbol" w:char="F0B7"/>
      </w:r>
      <w:r w:rsidRPr="0034508F">
        <w:rPr>
          <w:color w:val="auto"/>
        </w:rPr>
        <w:t xml:space="preserve"> This program is required only in LEAs in which the program is financed by funds distributed under this subsection and any other funds available for the program; and </w:t>
      </w:r>
    </w:p>
    <w:p w14:paraId="685EE491" w14:textId="36E18E67" w:rsidR="0008161A" w:rsidRDefault="00AA7202" w:rsidP="00E97003">
      <w:pPr>
        <w:spacing w:after="0" w:line="240" w:lineRule="auto"/>
        <w:ind w:left="720"/>
        <w:rPr>
          <w:color w:val="auto"/>
        </w:rPr>
      </w:pPr>
      <w:r w:rsidRPr="0034508F">
        <w:rPr>
          <w:color w:val="auto"/>
        </w:rPr>
        <w:sym w:font="Symbol" w:char="F0B7"/>
      </w:r>
      <w:r w:rsidRPr="0034508F">
        <w:rPr>
          <w:color w:val="auto"/>
        </w:rPr>
        <w:t xml:space="preserve"> LEAs are not eligible for reimbursement for ESY services provided to children for reasons other than those set forth in the EXTEDED SCHOOL YEAR SERVICES framework</w:t>
      </w:r>
    </w:p>
    <w:p w14:paraId="0620CB1B" w14:textId="331C7B70" w:rsidR="00AA7202" w:rsidRPr="0008161A" w:rsidRDefault="0008161A" w:rsidP="0008161A">
      <w:pPr>
        <w:tabs>
          <w:tab w:val="left" w:pos="2145"/>
        </w:tabs>
      </w:pPr>
      <w:r>
        <w:tab/>
      </w:r>
    </w:p>
    <w:p w14:paraId="43A1FB4D" w14:textId="77777777" w:rsidR="00AA7202" w:rsidRPr="0034508F" w:rsidRDefault="00AA7202" w:rsidP="00850B01">
      <w:pPr>
        <w:spacing w:after="0" w:line="240" w:lineRule="auto"/>
        <w:rPr>
          <w:color w:val="auto"/>
        </w:rPr>
      </w:pPr>
      <w:r w:rsidRPr="0034508F">
        <w:rPr>
          <w:color w:val="auto"/>
        </w:rPr>
        <w:lastRenderedPageBreak/>
        <w:t xml:space="preserve">Children from birth through age two with a visual or auditory impairment or both who are provided services by the LEA according to an individual family services plan are to be enrolled on the home or regional day school campus and are to be considered eligible for ADA on the same basis as other children receiving special education services. </w:t>
      </w:r>
    </w:p>
    <w:p w14:paraId="09592EAB" w14:textId="77777777" w:rsidR="00AA7202" w:rsidRPr="0034508F" w:rsidRDefault="00AA7202" w:rsidP="00850B01">
      <w:pPr>
        <w:spacing w:after="0" w:line="240" w:lineRule="auto"/>
        <w:rPr>
          <w:color w:val="auto"/>
        </w:rPr>
      </w:pPr>
      <w:r w:rsidRPr="0034508F">
        <w:rPr>
          <w:color w:val="auto"/>
        </w:rPr>
        <w:t xml:space="preserve">Children who are at least three but younger than 22 years of age on September 1 of the current scholastic year who participate in the regional day school program for the dead may be counted as part of the LEA’s ADA if they receive instruction from the LEA’s basic program for at least 50% of the school day. </w:t>
      </w:r>
    </w:p>
    <w:p w14:paraId="25F02031" w14:textId="77777777" w:rsidR="00AA7202" w:rsidRPr="0034508F" w:rsidRDefault="00AA7202" w:rsidP="00850B01">
      <w:pPr>
        <w:spacing w:after="0" w:line="240" w:lineRule="auto"/>
        <w:rPr>
          <w:color w:val="auto"/>
        </w:rPr>
      </w:pPr>
      <w:r w:rsidRPr="0034508F">
        <w:rPr>
          <w:color w:val="auto"/>
        </w:rPr>
        <w:t xml:space="preserve">The commissioner will withhold an amount specified in the General Appropriations Act and distribute that amount to LEAs that provide education solely to children confined to or educated in hospitals: </w:t>
      </w:r>
    </w:p>
    <w:p w14:paraId="5D4447CA" w14:textId="77777777" w:rsidR="00AA7202" w:rsidRPr="0034508F" w:rsidRDefault="00AA7202" w:rsidP="00E97003">
      <w:pPr>
        <w:spacing w:after="0" w:line="240" w:lineRule="auto"/>
        <w:ind w:left="720"/>
        <w:rPr>
          <w:color w:val="auto"/>
        </w:rPr>
      </w:pPr>
      <w:r w:rsidRPr="0034508F">
        <w:rPr>
          <w:color w:val="auto"/>
        </w:rPr>
        <w:sym w:font="Symbol" w:char="F0B7"/>
      </w:r>
      <w:r w:rsidRPr="0034508F">
        <w:rPr>
          <w:color w:val="auto"/>
        </w:rPr>
        <w:t xml:space="preserve"> This program is required only in LEAs in which the program is financed by funds distributed under this subsection from the total amount appropriated for special education, the commissioner will reduce each LEA’s allotment proportionately and allocate funds to each LEA accordingly. </w:t>
      </w:r>
    </w:p>
    <w:p w14:paraId="0202FFA0" w14:textId="294C2FBE" w:rsidR="00AA7202" w:rsidRDefault="00AA7202" w:rsidP="00850B01">
      <w:pPr>
        <w:spacing w:after="0" w:line="240" w:lineRule="auto"/>
        <w:rPr>
          <w:color w:val="auto"/>
        </w:rPr>
      </w:pPr>
      <w:r w:rsidRPr="0034508F">
        <w:rPr>
          <w:color w:val="auto"/>
        </w:rPr>
        <w:t>A special education fund balance may be carried over the next fiscal year, but must be expended on the special education program in the subsequent year. State special education carryover funds cannot be used for administrative costs.</w:t>
      </w:r>
    </w:p>
    <w:p w14:paraId="43EDF7E6" w14:textId="65866074" w:rsidR="00F66D7A" w:rsidRDefault="00F66D7A" w:rsidP="00F66D7A">
      <w:pPr>
        <w:widowControl w:val="0"/>
        <w:suppressAutoHyphens/>
        <w:autoSpaceDE w:val="0"/>
        <w:autoSpaceDN w:val="0"/>
        <w:spacing w:after="0" w:line="240" w:lineRule="auto"/>
        <w:rPr>
          <w:rFonts w:cs="Arial"/>
          <w:color w:val="auto"/>
          <w:sz w:val="24"/>
        </w:rPr>
      </w:pPr>
    </w:p>
    <w:p w14:paraId="11CD4ECC" w14:textId="7A822FF2" w:rsidR="00F54EED" w:rsidRDefault="00F54EED" w:rsidP="00F54EED">
      <w:pPr>
        <w:spacing w:after="0" w:line="240" w:lineRule="auto"/>
        <w:rPr>
          <w:color w:val="auto"/>
          <w:szCs w:val="20"/>
        </w:rPr>
      </w:pPr>
      <w:r>
        <w:rPr>
          <w:rFonts w:cs="Calibri"/>
          <w:b/>
          <w:bCs/>
          <w:color w:val="000000" w:themeColor="text1"/>
          <w:szCs w:val="20"/>
        </w:rPr>
        <w:t>Staff Responsible</w:t>
      </w:r>
      <w:r>
        <w:rPr>
          <w:color w:val="auto"/>
          <w:szCs w:val="20"/>
        </w:rPr>
        <w:t>: PEIMS Clerks,</w:t>
      </w:r>
      <w:r w:rsidR="000D5204">
        <w:rPr>
          <w:color w:val="auto"/>
          <w:szCs w:val="20"/>
        </w:rPr>
        <w:t xml:space="preserve"> </w:t>
      </w:r>
      <w:r>
        <w:rPr>
          <w:color w:val="auto"/>
          <w:szCs w:val="20"/>
        </w:rPr>
        <w:t>Principals and Central Office Administration, Special Education Director, Budget Clerk</w:t>
      </w:r>
    </w:p>
    <w:p w14:paraId="0C549DFC" w14:textId="77777777" w:rsidR="00F54EED" w:rsidRDefault="00F54EED" w:rsidP="00F54EED">
      <w:pPr>
        <w:spacing w:after="0" w:line="240" w:lineRule="auto"/>
        <w:rPr>
          <w:color w:val="auto"/>
          <w:szCs w:val="20"/>
        </w:rPr>
      </w:pPr>
    </w:p>
    <w:p w14:paraId="253D9707" w14:textId="77777777" w:rsidR="00F54EED" w:rsidRDefault="00F54EED" w:rsidP="00F54EED">
      <w:pPr>
        <w:spacing w:after="0" w:line="240" w:lineRule="auto"/>
        <w:rPr>
          <w:rFonts w:cs="Calibri"/>
          <w:b/>
          <w:color w:val="000000"/>
          <w:szCs w:val="20"/>
        </w:rPr>
      </w:pPr>
      <w:r>
        <w:rPr>
          <w:rFonts w:cs="Calibri"/>
          <w:b/>
          <w:color w:val="000000"/>
          <w:szCs w:val="20"/>
        </w:rPr>
        <w:t>Evidence of Practice:</w:t>
      </w:r>
    </w:p>
    <w:p w14:paraId="46D7B026" w14:textId="77777777" w:rsidR="00F54EED" w:rsidRDefault="00F54EED" w:rsidP="00F54EED">
      <w:pPr>
        <w:pStyle w:val="ListParagraph"/>
        <w:numPr>
          <w:ilvl w:val="0"/>
          <w:numId w:val="22"/>
        </w:numPr>
        <w:spacing w:after="0" w:line="240" w:lineRule="auto"/>
        <w:rPr>
          <w:color w:val="auto"/>
          <w:szCs w:val="20"/>
        </w:rPr>
      </w:pPr>
      <w:r>
        <w:rPr>
          <w:color w:val="auto"/>
          <w:szCs w:val="20"/>
        </w:rPr>
        <w:t>PEIMS data related to Least Restrictive Environment</w:t>
      </w:r>
    </w:p>
    <w:p w14:paraId="5B8D7C04" w14:textId="77777777" w:rsidR="00F54EED" w:rsidRDefault="00F54EED" w:rsidP="00F54EED">
      <w:pPr>
        <w:pStyle w:val="ListParagraph"/>
        <w:numPr>
          <w:ilvl w:val="0"/>
          <w:numId w:val="22"/>
        </w:numPr>
        <w:spacing w:after="0" w:line="240" w:lineRule="auto"/>
        <w:rPr>
          <w:color w:val="auto"/>
          <w:szCs w:val="20"/>
        </w:rPr>
      </w:pPr>
      <w:r>
        <w:rPr>
          <w:color w:val="auto"/>
          <w:szCs w:val="20"/>
        </w:rPr>
        <w:t>Grant applications</w:t>
      </w:r>
    </w:p>
    <w:p w14:paraId="5DDB99F7" w14:textId="77777777" w:rsidR="00F54EED" w:rsidRDefault="00F54EED" w:rsidP="00F54EED">
      <w:pPr>
        <w:pStyle w:val="ListParagraph"/>
        <w:numPr>
          <w:ilvl w:val="0"/>
          <w:numId w:val="22"/>
        </w:numPr>
        <w:spacing w:after="0" w:line="240" w:lineRule="auto"/>
        <w:rPr>
          <w:color w:val="auto"/>
          <w:szCs w:val="20"/>
        </w:rPr>
      </w:pPr>
      <w:r>
        <w:rPr>
          <w:color w:val="auto"/>
          <w:szCs w:val="20"/>
        </w:rPr>
        <w:t>Report relating to use of funds</w:t>
      </w:r>
    </w:p>
    <w:p w14:paraId="6F2F2AE3" w14:textId="77777777" w:rsidR="00F66D7A" w:rsidRPr="00F66D7A" w:rsidRDefault="00F66D7A" w:rsidP="00F66D7A">
      <w:pPr>
        <w:widowControl w:val="0"/>
        <w:suppressAutoHyphens/>
        <w:autoSpaceDE w:val="0"/>
        <w:autoSpaceDN w:val="0"/>
        <w:spacing w:after="0" w:line="240" w:lineRule="auto"/>
        <w:rPr>
          <w:rFonts w:cs="Arial"/>
          <w:color w:val="auto"/>
          <w:sz w:val="24"/>
        </w:rPr>
      </w:pPr>
    </w:p>
    <w:sectPr w:rsidR="00F66D7A" w:rsidRPr="00F66D7A" w:rsidSect="00A15E59">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A35CE" w14:textId="77777777" w:rsidR="00A13D6A" w:rsidRDefault="00A13D6A">
      <w:pPr>
        <w:spacing w:after="0" w:line="240" w:lineRule="auto"/>
      </w:pPr>
      <w:r>
        <w:separator/>
      </w:r>
    </w:p>
  </w:endnote>
  <w:endnote w:type="continuationSeparator" w:id="0">
    <w:p w14:paraId="53C0559B" w14:textId="77777777" w:rsidR="00A13D6A" w:rsidRDefault="00A1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4D28" w14:textId="77777777" w:rsidR="003B6671" w:rsidRDefault="003B6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21CB14F9" w14:textId="77777777" w:rsidTr="007A30FA">
      <w:trPr>
        <w:jc w:val="center"/>
      </w:trPr>
      <w:tc>
        <w:tcPr>
          <w:tcW w:w="3348" w:type="dxa"/>
          <w:vAlign w:val="center"/>
        </w:tcPr>
        <w:p w14:paraId="34DDC251" w14:textId="39A2D51A"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257052">
            <w:rPr>
              <w:b w:val="0"/>
              <w:sz w:val="16"/>
              <w:szCs w:val="16"/>
            </w:rPr>
            <w:t>Procedures</w:t>
          </w:r>
        </w:p>
      </w:tc>
      <w:tc>
        <w:tcPr>
          <w:tcW w:w="6228" w:type="dxa"/>
          <w:vAlign w:val="center"/>
        </w:tcPr>
        <w:p w14:paraId="3A747C23" w14:textId="77777777" w:rsidR="00A15E59" w:rsidRPr="009A1B8F" w:rsidRDefault="00B95F2D" w:rsidP="00D60779">
          <w:pPr>
            <w:pStyle w:val="Footer"/>
            <w:tabs>
              <w:tab w:val="left" w:pos="1260"/>
            </w:tabs>
            <w:jc w:val="right"/>
            <w:rPr>
              <w:sz w:val="16"/>
              <w:szCs w:val="16"/>
            </w:rPr>
          </w:pPr>
          <w:r w:rsidRPr="00B95F2D">
            <w:rPr>
              <w:sz w:val="16"/>
              <w:szCs w:val="16"/>
            </w:rPr>
            <w:t xml:space="preserve">DISTRIBUTION OF </w:t>
          </w:r>
          <w:r w:rsidR="00D60779">
            <w:rPr>
              <w:sz w:val="16"/>
              <w:szCs w:val="16"/>
            </w:rPr>
            <w:t xml:space="preserve">STATE SPECIAL EDUCATION </w:t>
          </w:r>
          <w:r w:rsidRPr="00B95F2D">
            <w:rPr>
              <w:sz w:val="16"/>
              <w:szCs w:val="16"/>
            </w:rPr>
            <w:t>FUNDS TO LEAS</w:t>
          </w:r>
        </w:p>
      </w:tc>
    </w:tr>
    <w:tr w:rsidR="00A15E59" w:rsidRPr="00CD22C5" w14:paraId="4EBCB833" w14:textId="77777777" w:rsidTr="007A30FA">
      <w:trPr>
        <w:jc w:val="center"/>
      </w:trPr>
      <w:tc>
        <w:tcPr>
          <w:tcW w:w="3348" w:type="dxa"/>
          <w:vAlign w:val="center"/>
        </w:tcPr>
        <w:p w14:paraId="06F04829" w14:textId="1B9830CF"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3B6671" w:rsidRPr="0008161A">
            <w:rPr>
              <w:b w:val="0"/>
              <w:sz w:val="16"/>
              <w:szCs w:val="16"/>
            </w:rPr>
            <w:t>08/202</w:t>
          </w:r>
          <w:r w:rsidR="002542CB">
            <w:rPr>
              <w:b w:val="0"/>
              <w:sz w:val="16"/>
              <w:szCs w:val="16"/>
            </w:rPr>
            <w:t>5</w:t>
          </w:r>
          <w:bookmarkStart w:id="0" w:name="_GoBack"/>
          <w:bookmarkEnd w:id="0"/>
        </w:p>
      </w:tc>
      <w:tc>
        <w:tcPr>
          <w:tcW w:w="6228" w:type="dxa"/>
          <w:vAlign w:val="center"/>
        </w:tcPr>
        <w:p w14:paraId="4B0D0D1C"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0272B0">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0272B0">
            <w:rPr>
              <w:b w:val="0"/>
              <w:noProof/>
              <w:sz w:val="16"/>
              <w:szCs w:val="16"/>
            </w:rPr>
            <w:t>1</w:t>
          </w:r>
          <w:r w:rsidRPr="00CD22C5">
            <w:rPr>
              <w:b w:val="0"/>
              <w:sz w:val="16"/>
              <w:szCs w:val="16"/>
            </w:rPr>
            <w:fldChar w:fldCharType="end"/>
          </w:r>
        </w:p>
      </w:tc>
    </w:tr>
  </w:tbl>
  <w:p w14:paraId="38F34BE1"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3187DBC8" w14:textId="77777777" w:rsidTr="00CD22C5">
      <w:tc>
        <w:tcPr>
          <w:tcW w:w="4338" w:type="dxa"/>
          <w:vAlign w:val="center"/>
        </w:tcPr>
        <w:p w14:paraId="2B46D9FD"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58257F0C"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4DFAB3E2" w14:textId="77777777" w:rsidTr="00CD22C5">
      <w:tc>
        <w:tcPr>
          <w:tcW w:w="4338" w:type="dxa"/>
          <w:vAlign w:val="center"/>
        </w:tcPr>
        <w:p w14:paraId="44075B20"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693FC1CD"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C7B0A">
            <w:rPr>
              <w:b w:val="0"/>
              <w:noProof/>
              <w:sz w:val="16"/>
              <w:szCs w:val="16"/>
            </w:rPr>
            <w:t>2</w:t>
          </w:r>
          <w:r w:rsidRPr="00CD22C5">
            <w:rPr>
              <w:b w:val="0"/>
              <w:sz w:val="16"/>
              <w:szCs w:val="16"/>
            </w:rPr>
            <w:fldChar w:fldCharType="end"/>
          </w:r>
        </w:p>
      </w:tc>
    </w:tr>
  </w:tbl>
  <w:p w14:paraId="25D3B9D9"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AA79" w14:textId="77777777" w:rsidR="00A13D6A" w:rsidRDefault="00A13D6A">
      <w:pPr>
        <w:spacing w:after="0" w:line="240" w:lineRule="auto"/>
      </w:pPr>
      <w:r>
        <w:separator/>
      </w:r>
    </w:p>
  </w:footnote>
  <w:footnote w:type="continuationSeparator" w:id="0">
    <w:p w14:paraId="10D38812" w14:textId="77777777" w:rsidR="00A13D6A" w:rsidRDefault="00A1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6966" w14:textId="77777777" w:rsidR="003B6671" w:rsidRDefault="003B6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1EC515F3"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65A3C39" w14:textId="526C8633" w:rsidR="00A15E59" w:rsidRPr="00A15E59" w:rsidRDefault="00A15E59" w:rsidP="00A15E59">
          <w:pPr>
            <w:pStyle w:val="Header"/>
            <w:spacing w:before="0"/>
            <w:jc w:val="center"/>
            <w:rPr>
              <w:color w:val="0F3966" w:themeColor="accent1"/>
              <w:sz w:val="24"/>
            </w:rPr>
          </w:pPr>
          <w:r w:rsidRPr="00A15E59">
            <w:rPr>
              <w:sz w:val="24"/>
            </w:rPr>
            <w:t xml:space="preserve">OPERATING </w:t>
          </w:r>
          <w:r w:rsidR="00257052">
            <w:rPr>
              <w:sz w:val="24"/>
            </w:rPr>
            <w:t>PROCEDURES</w:t>
          </w:r>
        </w:p>
      </w:tc>
    </w:tr>
    <w:tr w:rsidR="00A15E59" w:rsidRPr="00A15E59" w14:paraId="1C4E2F9D"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09E7CA72" w14:textId="77777777" w:rsidR="00727C62" w:rsidRPr="00A15E59" w:rsidRDefault="00261FC1" w:rsidP="00D60779">
          <w:pPr>
            <w:pStyle w:val="Header"/>
            <w:spacing w:before="0"/>
            <w:jc w:val="center"/>
            <w:rPr>
              <w:sz w:val="24"/>
            </w:rPr>
          </w:pPr>
          <w:r>
            <w:rPr>
              <w:sz w:val="24"/>
            </w:rPr>
            <w:t xml:space="preserve">DISTRIBUTION OF </w:t>
          </w:r>
          <w:r w:rsidR="00D60779">
            <w:rPr>
              <w:sz w:val="24"/>
            </w:rPr>
            <w:t>STATE SPECIAL EDUCATION</w:t>
          </w:r>
          <w:r w:rsidR="00B95F2D">
            <w:rPr>
              <w:sz w:val="24"/>
            </w:rPr>
            <w:t xml:space="preserve"> FUNDS TO LEAS</w:t>
          </w:r>
        </w:p>
      </w:tc>
    </w:tr>
    <w:tr w:rsidR="00A15E59" w:rsidRPr="00A15E59" w14:paraId="4EE9EED4"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7E855659" w14:textId="3D5E5D4B" w:rsidR="001C21B7" w:rsidRPr="00A15E59" w:rsidRDefault="001C21B7" w:rsidP="0017202D">
          <w:pPr>
            <w:pStyle w:val="Header"/>
            <w:spacing w:before="0"/>
            <w:jc w:val="left"/>
          </w:pPr>
          <w:r>
            <w:t>Robertson County Special Services</w:t>
          </w:r>
        </w:p>
      </w:tc>
      <w:tc>
        <w:tcPr>
          <w:tcW w:w="1710" w:type="dxa"/>
          <w:vAlign w:val="center"/>
        </w:tcPr>
        <w:p w14:paraId="5C4E9D00" w14:textId="60D129D3"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7F7C0F15"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BA01" w14:textId="77777777" w:rsidR="003B6671" w:rsidRDefault="003B6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48626FA"/>
    <w:multiLevelType w:val="hybridMultilevel"/>
    <w:tmpl w:val="1E04C15A"/>
    <w:lvl w:ilvl="0" w:tplc="2EBEB79A">
      <w:numFmt w:val="bullet"/>
      <w:lvlText w:val="•"/>
      <w:lvlJc w:val="left"/>
      <w:pPr>
        <w:ind w:left="720" w:hanging="72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07284"/>
    <w:multiLevelType w:val="hybridMultilevel"/>
    <w:tmpl w:val="E570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1B164171"/>
    <w:multiLevelType w:val="hybridMultilevel"/>
    <w:tmpl w:val="A5E2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A13026"/>
    <w:multiLevelType w:val="multilevel"/>
    <w:tmpl w:val="295AA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A208E"/>
    <w:multiLevelType w:val="hybridMultilevel"/>
    <w:tmpl w:val="33A2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7"/>
  </w:num>
  <w:num w:numId="15">
    <w:abstractNumId w:val="11"/>
  </w:num>
  <w:num w:numId="16">
    <w:abstractNumId w:val="9"/>
  </w:num>
  <w:num w:numId="17">
    <w:abstractNumId w:val="15"/>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2B0"/>
    <w:rsid w:val="00027F91"/>
    <w:rsid w:val="0008161A"/>
    <w:rsid w:val="000C084D"/>
    <w:rsid w:val="000C551A"/>
    <w:rsid w:val="000D5204"/>
    <w:rsid w:val="001026B3"/>
    <w:rsid w:val="0010401E"/>
    <w:rsid w:val="001220B7"/>
    <w:rsid w:val="00140EB8"/>
    <w:rsid w:val="0017202D"/>
    <w:rsid w:val="001C21B7"/>
    <w:rsid w:val="001C26F1"/>
    <w:rsid w:val="001C60FA"/>
    <w:rsid w:val="001C7873"/>
    <w:rsid w:val="002045E8"/>
    <w:rsid w:val="0025308E"/>
    <w:rsid w:val="002542CB"/>
    <w:rsid w:val="00257052"/>
    <w:rsid w:val="00261FC1"/>
    <w:rsid w:val="00271990"/>
    <w:rsid w:val="00287E6A"/>
    <w:rsid w:val="002F6C26"/>
    <w:rsid w:val="0034508F"/>
    <w:rsid w:val="003548CA"/>
    <w:rsid w:val="0038622D"/>
    <w:rsid w:val="003920EE"/>
    <w:rsid w:val="003A3C81"/>
    <w:rsid w:val="003B49F0"/>
    <w:rsid w:val="003B6671"/>
    <w:rsid w:val="003C1130"/>
    <w:rsid w:val="00426C23"/>
    <w:rsid w:val="004512A5"/>
    <w:rsid w:val="00452D0C"/>
    <w:rsid w:val="00462709"/>
    <w:rsid w:val="004A33BA"/>
    <w:rsid w:val="004B49B5"/>
    <w:rsid w:val="004D4BEB"/>
    <w:rsid w:val="004E2A26"/>
    <w:rsid w:val="004F452C"/>
    <w:rsid w:val="005C6B54"/>
    <w:rsid w:val="006B20F8"/>
    <w:rsid w:val="006E3F0A"/>
    <w:rsid w:val="00710F78"/>
    <w:rsid w:val="00727C62"/>
    <w:rsid w:val="00755ED8"/>
    <w:rsid w:val="007A30FA"/>
    <w:rsid w:val="0080138A"/>
    <w:rsid w:val="00850B01"/>
    <w:rsid w:val="00884D94"/>
    <w:rsid w:val="00890931"/>
    <w:rsid w:val="008E1425"/>
    <w:rsid w:val="0091787A"/>
    <w:rsid w:val="009415A3"/>
    <w:rsid w:val="00962988"/>
    <w:rsid w:val="00976E6E"/>
    <w:rsid w:val="00A13D6A"/>
    <w:rsid w:val="00A15E59"/>
    <w:rsid w:val="00A76339"/>
    <w:rsid w:val="00AA7202"/>
    <w:rsid w:val="00B21B10"/>
    <w:rsid w:val="00B74BEF"/>
    <w:rsid w:val="00B95F2D"/>
    <w:rsid w:val="00BF06FA"/>
    <w:rsid w:val="00C24BAB"/>
    <w:rsid w:val="00C2558A"/>
    <w:rsid w:val="00CD22C5"/>
    <w:rsid w:val="00CE5EEE"/>
    <w:rsid w:val="00D45E93"/>
    <w:rsid w:val="00D54A17"/>
    <w:rsid w:val="00D60779"/>
    <w:rsid w:val="00D92A1C"/>
    <w:rsid w:val="00DB231F"/>
    <w:rsid w:val="00DC7B0A"/>
    <w:rsid w:val="00DE6162"/>
    <w:rsid w:val="00DF5B9C"/>
    <w:rsid w:val="00E00450"/>
    <w:rsid w:val="00E009AB"/>
    <w:rsid w:val="00E164D4"/>
    <w:rsid w:val="00E21132"/>
    <w:rsid w:val="00E97003"/>
    <w:rsid w:val="00EA6810"/>
    <w:rsid w:val="00ED5C01"/>
    <w:rsid w:val="00EE1684"/>
    <w:rsid w:val="00F04CEA"/>
    <w:rsid w:val="00F54EED"/>
    <w:rsid w:val="00F63608"/>
    <w:rsid w:val="00F66D7A"/>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CF35C"/>
  <w15:docId w15:val="{BF8DD251-7BBC-4855-BE0E-9818CCF2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4512A5"/>
    <w:pPr>
      <w:ind w:left="720"/>
      <w:contextualSpacing/>
    </w:pPr>
  </w:style>
  <w:style w:type="character" w:customStyle="1" w:styleId="ListParagraphChar">
    <w:name w:val="List Paragraph Char"/>
    <w:aliases w:val="Numbered List Paragraph Char"/>
    <w:link w:val="ListParagraph"/>
    <w:uiPriority w:val="34"/>
    <w:locked/>
    <w:rsid w:val="00F66D7A"/>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8091">
      <w:bodyDiv w:val="1"/>
      <w:marLeft w:val="0"/>
      <w:marRight w:val="0"/>
      <w:marTop w:val="0"/>
      <w:marBottom w:val="0"/>
      <w:divBdr>
        <w:top w:val="none" w:sz="0" w:space="0" w:color="auto"/>
        <w:left w:val="none" w:sz="0" w:space="0" w:color="auto"/>
        <w:bottom w:val="none" w:sz="0" w:space="0" w:color="auto"/>
        <w:right w:val="none" w:sz="0" w:space="0" w:color="auto"/>
      </w:divBdr>
    </w:div>
    <w:div w:id="717821024">
      <w:bodyDiv w:val="1"/>
      <w:marLeft w:val="0"/>
      <w:marRight w:val="0"/>
      <w:marTop w:val="0"/>
      <w:marBottom w:val="0"/>
      <w:divBdr>
        <w:top w:val="none" w:sz="0" w:space="0" w:color="auto"/>
        <w:left w:val="none" w:sz="0" w:space="0" w:color="auto"/>
        <w:bottom w:val="none" w:sz="0" w:space="0" w:color="auto"/>
        <w:right w:val="none" w:sz="0" w:space="0" w:color="auto"/>
      </w:divBdr>
    </w:div>
    <w:div w:id="99853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67&amp;DT=G&amp;LI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ramework.esc18.net/display/Webforms/LandingPage.aspx" TargetMode="External"/><Relationship Id="rId4" Type="http://schemas.openxmlformats.org/officeDocument/2006/relationships/settings" Target="settings.xml"/><Relationship Id="rId9" Type="http://schemas.openxmlformats.org/officeDocument/2006/relationships/hyperlink" Target="http://tea.texas.gov/Finance_and_Grants/Financial_Compliance/Student__Attendance_Accounting_Handboo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9B7E1EF-79DC-4BA3-B71E-50BDE0BE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25</cp:revision>
  <cp:lastPrinted>2016-03-01T22:27:00Z</cp:lastPrinted>
  <dcterms:created xsi:type="dcterms:W3CDTF">2021-11-01T16:51:00Z</dcterms:created>
  <dcterms:modified xsi:type="dcterms:W3CDTF">2025-10-27T14:57:00Z</dcterms:modified>
</cp:coreProperties>
</file>