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087B7" w14:textId="77777777" w:rsidR="002045E8" w:rsidRDefault="002045E8" w:rsidP="002045E8">
      <w:pPr>
        <w:spacing w:after="0" w:line="240" w:lineRule="auto"/>
        <w:rPr>
          <w:szCs w:val="20"/>
        </w:rPr>
      </w:pPr>
    </w:p>
    <w:p w14:paraId="2DF37C7B"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EB2CD0">
          <w:rPr>
            <w:rStyle w:val="Hyperlink"/>
            <w:color w:val="0000FF"/>
            <w:szCs w:val="20"/>
          </w:rPr>
          <w:t>Funding for Noneducational Services</w:t>
        </w:r>
      </w:hyperlink>
      <w:r w:rsidRPr="008E1425">
        <w:rPr>
          <w:color w:val="000000" w:themeColor="text1"/>
          <w:szCs w:val="20"/>
        </w:rPr>
        <w:t xml:space="preserve"> </w:t>
      </w:r>
    </w:p>
    <w:p w14:paraId="70FB3E0B"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Funding</w:t>
      </w:r>
      <w:r w:rsidR="009415A3" w:rsidRPr="008E1425">
        <w:rPr>
          <w:color w:val="000000" w:themeColor="text1"/>
          <w:szCs w:val="20"/>
        </w:rPr>
        <w:t xml:space="preserve"> </w:t>
      </w:r>
      <w:r w:rsidR="009415A3">
        <w:rPr>
          <w:color w:val="000099"/>
          <w:szCs w:val="20"/>
        </w:rPr>
        <w:tab/>
      </w:r>
      <w:r w:rsidR="00F90C95">
        <w:rPr>
          <w:color w:val="000000" w:themeColor="text1"/>
          <w:sz w:val="12"/>
          <w:szCs w:val="12"/>
        </w:rPr>
        <w:t>Template update Oct</w:t>
      </w:r>
      <w:r w:rsidR="009415A3" w:rsidRPr="009415A3">
        <w:rPr>
          <w:color w:val="000000" w:themeColor="text1"/>
          <w:sz w:val="12"/>
          <w:szCs w:val="12"/>
        </w:rPr>
        <w:t xml:space="preserve"> 2016</w:t>
      </w:r>
    </w:p>
    <w:p w14:paraId="71881126" w14:textId="77777777" w:rsidR="000C551A" w:rsidRPr="009415A3" w:rsidRDefault="000C551A" w:rsidP="00FC4DAA">
      <w:pPr>
        <w:spacing w:after="0" w:line="240" w:lineRule="auto"/>
        <w:rPr>
          <w:color w:val="000000" w:themeColor="text1"/>
        </w:rPr>
      </w:pPr>
    </w:p>
    <w:p w14:paraId="0C06C10A" w14:textId="77777777" w:rsidR="00B801FE" w:rsidRDefault="00B801FE" w:rsidP="00EB2CD0">
      <w:pPr>
        <w:spacing w:after="0" w:line="240" w:lineRule="auto"/>
        <w:jc w:val="both"/>
        <w:rPr>
          <w:rFonts w:eastAsia="Times New Roman" w:cs="Times New Roman"/>
          <w:b/>
          <w:color w:val="auto"/>
          <w:szCs w:val="20"/>
          <w:u w:val="single"/>
          <w:lang w:val="en"/>
        </w:rPr>
      </w:pPr>
      <w:r w:rsidRPr="00076F07">
        <w:rPr>
          <w:rFonts w:eastAsia="Times New Roman" w:cs="Times New Roman"/>
          <w:b/>
          <w:color w:val="auto"/>
          <w:szCs w:val="20"/>
          <w:u w:val="single"/>
          <w:lang w:val="en"/>
        </w:rPr>
        <w:t>Application Guidance</w:t>
      </w:r>
    </w:p>
    <w:p w14:paraId="7A285533" w14:textId="77777777" w:rsidR="007F261D" w:rsidRPr="00076F07" w:rsidRDefault="007F261D" w:rsidP="00EB2CD0">
      <w:pPr>
        <w:spacing w:after="0" w:line="240" w:lineRule="auto"/>
        <w:jc w:val="both"/>
        <w:rPr>
          <w:rFonts w:eastAsia="Times New Roman" w:cs="Times New Roman"/>
          <w:b/>
          <w:color w:val="auto"/>
          <w:szCs w:val="20"/>
          <w:u w:val="single"/>
          <w:lang w:val="en"/>
        </w:rPr>
      </w:pPr>
    </w:p>
    <w:p w14:paraId="78598B0C" w14:textId="77777777" w:rsidR="00EB2CD0" w:rsidRPr="00076F07" w:rsidRDefault="00876A40" w:rsidP="00076F07">
      <w:pPr>
        <w:pStyle w:val="ListParagraph"/>
        <w:numPr>
          <w:ilvl w:val="0"/>
          <w:numId w:val="16"/>
        </w:numPr>
        <w:spacing w:after="0" w:line="240" w:lineRule="auto"/>
        <w:jc w:val="both"/>
        <w:rPr>
          <w:rFonts w:eastAsia="Times New Roman" w:cs="Times New Roman"/>
          <w:color w:val="auto"/>
          <w:szCs w:val="20"/>
          <w:lang w:val="en"/>
        </w:rPr>
      </w:pPr>
      <w:hyperlink r:id="rId9" w:history="1">
        <w:r w:rsidR="00EB2CD0" w:rsidRPr="00076F07">
          <w:rPr>
            <w:rStyle w:val="Hyperlink"/>
            <w:rFonts w:eastAsia="Times New Roman" w:cs="Times New Roman"/>
            <w:color w:val="0000FF"/>
            <w:szCs w:val="20"/>
            <w:lang w:val="en"/>
          </w:rPr>
          <w:t>Non-educational Community-Based Support Services</w:t>
        </w:r>
      </w:hyperlink>
      <w:r w:rsidR="00B801FE" w:rsidRPr="00076F07">
        <w:rPr>
          <w:rFonts w:eastAsia="Times New Roman" w:cs="Times New Roman"/>
          <w:color w:val="auto"/>
          <w:szCs w:val="20"/>
          <w:lang w:val="en"/>
        </w:rPr>
        <w:t xml:space="preserve"> (TEA)</w:t>
      </w:r>
    </w:p>
    <w:p w14:paraId="1E383F93" w14:textId="77777777" w:rsidR="00462709" w:rsidRPr="00462709" w:rsidRDefault="00462709" w:rsidP="00FC4DAA">
      <w:pPr>
        <w:spacing w:after="0" w:line="240" w:lineRule="auto"/>
        <w:jc w:val="both"/>
        <w:rPr>
          <w:rFonts w:eastAsia="Times New Roman" w:cs="Times New Roman"/>
          <w:color w:val="auto"/>
          <w:szCs w:val="20"/>
        </w:rPr>
      </w:pPr>
    </w:p>
    <w:p w14:paraId="6EEBB9C0" w14:textId="0E072B74" w:rsidR="004E2A26" w:rsidRPr="004E2A26" w:rsidRDefault="004E2A26" w:rsidP="006E3F0A">
      <w:pPr>
        <w:spacing w:after="0" w:line="240" w:lineRule="auto"/>
        <w:jc w:val="both"/>
        <w:rPr>
          <w:rFonts w:eastAsia="Times New Roman" w:cs="Times New Roman"/>
          <w:color w:val="auto"/>
          <w:szCs w:val="20"/>
        </w:rPr>
      </w:pPr>
      <w:r w:rsidRPr="004E2A26">
        <w:rPr>
          <w:rFonts w:eastAsia="Times New Roman" w:cs="Times New Roman"/>
          <w:color w:val="auto"/>
          <w:szCs w:val="20"/>
        </w:rPr>
        <w:t>Through the implementation of the</w:t>
      </w:r>
      <w:r w:rsidR="005A170E">
        <w:rPr>
          <w:rFonts w:eastAsia="Times New Roman" w:cs="Times New Roman"/>
          <w:color w:val="auto"/>
          <w:szCs w:val="20"/>
        </w:rPr>
        <w:t xml:space="preserve"> member district </w:t>
      </w:r>
      <w:r w:rsidRPr="004E2A26">
        <w:rPr>
          <w:rFonts w:eastAsia="Times New Roman" w:cs="Times New Roman"/>
          <w:color w:val="auto"/>
          <w:szCs w:val="20"/>
        </w:rPr>
        <w:t xml:space="preserve">policies and procedures as outlined in the </w:t>
      </w:r>
      <w:hyperlink r:id="rId10" w:history="1">
        <w:r w:rsidRPr="00462709">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w:t>
      </w:r>
      <w:r w:rsidR="005A170E">
        <w:rPr>
          <w:rFonts w:eastAsia="Times New Roman" w:cs="Times New Roman"/>
          <w:color w:val="auto"/>
          <w:szCs w:val="20"/>
        </w:rPr>
        <w:t xml:space="preserve">the member district </w:t>
      </w:r>
      <w:r w:rsidRPr="004E2A26">
        <w:rPr>
          <w:rFonts w:eastAsia="Times New Roman" w:cs="Times New Roman"/>
          <w:color w:val="auto"/>
          <w:szCs w:val="20"/>
        </w:rPr>
        <w:t xml:space="preserve">ensures </w:t>
      </w:r>
      <w:r w:rsidR="00EB2CD0" w:rsidRPr="00EB2CD0">
        <w:rPr>
          <w:rFonts w:eastAsia="Times New Roman" w:cs="Times New Roman"/>
          <w:color w:val="auto"/>
          <w:szCs w:val="20"/>
        </w:rPr>
        <w:t>that any funds for noneducational services are managed and used as allowed by the IDEA and its accompanying federal regulations, state statutes and regulations</w:t>
      </w:r>
      <w:r w:rsidRPr="004E2A26">
        <w:rPr>
          <w:rFonts w:eastAsia="Times New Roman" w:cs="Times New Roman"/>
          <w:color w:val="auto"/>
          <w:szCs w:val="20"/>
        </w:rPr>
        <w:t>.</w:t>
      </w:r>
    </w:p>
    <w:p w14:paraId="6441E24D" w14:textId="77777777" w:rsidR="00E21132" w:rsidRPr="002045E8" w:rsidRDefault="00E21132" w:rsidP="006E3F0A">
      <w:pPr>
        <w:spacing w:after="0" w:line="240" w:lineRule="auto"/>
        <w:jc w:val="both"/>
        <w:rPr>
          <w:rFonts w:eastAsia="Times New Roman" w:cs="Times New Roman"/>
          <w:color w:val="auto"/>
          <w:szCs w:val="20"/>
        </w:rPr>
      </w:pPr>
    </w:p>
    <w:p w14:paraId="4E937F03" w14:textId="77777777" w:rsidR="00DB231F" w:rsidRDefault="00876A40" w:rsidP="009415A3">
      <w:pPr>
        <w:spacing w:after="0" w:line="240" w:lineRule="auto"/>
        <w:rPr>
          <w:szCs w:val="20"/>
        </w:rPr>
      </w:pPr>
      <w:r>
        <w:rPr>
          <w:szCs w:val="20"/>
        </w:rPr>
        <w:pict w14:anchorId="64C6F434">
          <v:rect id="_x0000_i1025" style="width:468pt;height:3pt" o:hralign="center" o:hrstd="t" o:hrnoshade="t" o:hr="t" fillcolor="#0f3966 [3204]" stroked="f"/>
        </w:pict>
      </w:r>
    </w:p>
    <w:p w14:paraId="52541819" w14:textId="77777777" w:rsidR="009A1473" w:rsidRDefault="00BC3385" w:rsidP="009415A3">
      <w:pPr>
        <w:spacing w:after="0" w:line="240" w:lineRule="auto"/>
        <w:rPr>
          <w:sz w:val="24"/>
        </w:rPr>
      </w:pPr>
      <w:r>
        <w:rPr>
          <w:color w:val="auto"/>
        </w:rPr>
        <w:t>The district will decide which students</w:t>
      </w:r>
      <w:r w:rsidR="009A1473">
        <w:rPr>
          <w:color w:val="auto"/>
        </w:rPr>
        <w:t xml:space="preserve"> need noneducational support services. A committee made up of school staff who are knowledge about the students’ needs will be used to determine a need.</w:t>
      </w:r>
      <w:r>
        <w:rPr>
          <w:sz w:val="24"/>
        </w:rPr>
        <w:t xml:space="preserve"> </w:t>
      </w:r>
    </w:p>
    <w:p w14:paraId="60EEAAFF" w14:textId="55D66DC1" w:rsidR="005A170E" w:rsidRPr="005A170E" w:rsidRDefault="005A170E" w:rsidP="009415A3">
      <w:pPr>
        <w:spacing w:after="0" w:line="240" w:lineRule="auto"/>
        <w:rPr>
          <w:color w:val="auto"/>
        </w:rPr>
      </w:pPr>
      <w:r w:rsidRPr="005A170E">
        <w:rPr>
          <w:color w:val="auto"/>
        </w:rPr>
        <w:t xml:space="preserve">The district will complete the application, if needed, for students who may be eligible for non-educational funds. Once the district is notified who will receive the funds, the district will inform the parent of the amount awarded and procedures to access funds. Funds will be paid directly to service providers. </w:t>
      </w:r>
    </w:p>
    <w:p w14:paraId="7B0F03D4" w14:textId="0A12DC72" w:rsidR="005A170E" w:rsidRDefault="005A170E" w:rsidP="009415A3">
      <w:pPr>
        <w:spacing w:after="0" w:line="240" w:lineRule="auto"/>
        <w:rPr>
          <w:b/>
          <w:color w:val="000000" w:themeColor="text1"/>
          <w:szCs w:val="20"/>
        </w:rPr>
      </w:pPr>
    </w:p>
    <w:p w14:paraId="109FC1C8" w14:textId="0866C52D" w:rsidR="005A170E" w:rsidRDefault="005A170E" w:rsidP="009415A3">
      <w:pPr>
        <w:spacing w:after="0" w:line="240" w:lineRule="auto"/>
        <w:rPr>
          <w:color w:val="000000" w:themeColor="text1"/>
          <w:szCs w:val="20"/>
        </w:rPr>
      </w:pPr>
      <w:r>
        <w:rPr>
          <w:b/>
          <w:color w:val="000000" w:themeColor="text1"/>
          <w:szCs w:val="20"/>
        </w:rPr>
        <w:t>S</w:t>
      </w:r>
      <w:r w:rsidR="007A37D0">
        <w:rPr>
          <w:b/>
          <w:color w:val="000000" w:themeColor="text1"/>
          <w:szCs w:val="20"/>
        </w:rPr>
        <w:t xml:space="preserve">taff Responsible: </w:t>
      </w:r>
      <w:r w:rsidRPr="005A170E">
        <w:rPr>
          <w:color w:val="000000" w:themeColor="text1"/>
          <w:szCs w:val="20"/>
        </w:rPr>
        <w:t>Supe</w:t>
      </w:r>
      <w:r>
        <w:rPr>
          <w:color w:val="000000" w:themeColor="text1"/>
          <w:szCs w:val="20"/>
        </w:rPr>
        <w:t>rintendent</w:t>
      </w:r>
      <w:r w:rsidRPr="005A170E">
        <w:rPr>
          <w:color w:val="000000" w:themeColor="text1"/>
          <w:szCs w:val="20"/>
        </w:rPr>
        <w:t xml:space="preserve">, </w:t>
      </w:r>
      <w:r>
        <w:rPr>
          <w:color w:val="000000" w:themeColor="text1"/>
          <w:szCs w:val="20"/>
        </w:rPr>
        <w:t>Special Education Director</w:t>
      </w:r>
      <w:r w:rsidR="009A1473">
        <w:rPr>
          <w:color w:val="000000" w:themeColor="text1"/>
          <w:szCs w:val="20"/>
        </w:rPr>
        <w:t xml:space="preserve">, Special Education Teacher, Related Service Provider, </w:t>
      </w:r>
      <w:r w:rsidR="00776CDF">
        <w:rPr>
          <w:color w:val="000000" w:themeColor="text1"/>
          <w:szCs w:val="20"/>
        </w:rPr>
        <w:t xml:space="preserve">Speech Language Pathologist, </w:t>
      </w:r>
      <w:r w:rsidR="009A1473">
        <w:rPr>
          <w:color w:val="000000" w:themeColor="text1"/>
          <w:szCs w:val="20"/>
        </w:rPr>
        <w:t>Diagnostician/LSSP</w:t>
      </w:r>
    </w:p>
    <w:p w14:paraId="057E7AB5" w14:textId="60361ABD" w:rsidR="005A170E" w:rsidRDefault="005A170E" w:rsidP="009415A3">
      <w:pPr>
        <w:spacing w:after="0" w:line="240" w:lineRule="auto"/>
        <w:rPr>
          <w:color w:val="000000" w:themeColor="text1"/>
          <w:szCs w:val="20"/>
        </w:rPr>
      </w:pPr>
    </w:p>
    <w:p w14:paraId="16ACAC37" w14:textId="0F8EA194" w:rsidR="005A170E" w:rsidRDefault="005A170E" w:rsidP="009415A3">
      <w:pPr>
        <w:spacing w:after="0" w:line="240" w:lineRule="auto"/>
        <w:rPr>
          <w:b/>
          <w:color w:val="000000" w:themeColor="text1"/>
          <w:szCs w:val="20"/>
        </w:rPr>
      </w:pPr>
      <w:r w:rsidRPr="005A170E">
        <w:rPr>
          <w:b/>
          <w:color w:val="000000" w:themeColor="text1"/>
          <w:szCs w:val="20"/>
        </w:rPr>
        <w:t>E</w:t>
      </w:r>
      <w:r w:rsidR="007A37D0">
        <w:rPr>
          <w:b/>
          <w:color w:val="000000" w:themeColor="text1"/>
          <w:szCs w:val="20"/>
        </w:rPr>
        <w:t>vidence of Practice:</w:t>
      </w:r>
      <w:r w:rsidRPr="005A170E">
        <w:rPr>
          <w:b/>
          <w:color w:val="000000" w:themeColor="text1"/>
          <w:szCs w:val="20"/>
        </w:rPr>
        <w:t xml:space="preserve"> </w:t>
      </w:r>
    </w:p>
    <w:p w14:paraId="584078C0" w14:textId="1745F0BB" w:rsidR="005A170E" w:rsidRPr="005A170E" w:rsidRDefault="005A170E" w:rsidP="005A170E">
      <w:pPr>
        <w:pStyle w:val="ListParagraph"/>
        <w:numPr>
          <w:ilvl w:val="0"/>
          <w:numId w:val="16"/>
        </w:numPr>
        <w:spacing w:after="0" w:line="240" w:lineRule="auto"/>
        <w:rPr>
          <w:color w:val="000000" w:themeColor="text1"/>
          <w:szCs w:val="20"/>
        </w:rPr>
      </w:pPr>
      <w:r w:rsidRPr="005A170E">
        <w:rPr>
          <w:color w:val="000000" w:themeColor="text1"/>
          <w:szCs w:val="20"/>
        </w:rPr>
        <w:t>Application</w:t>
      </w:r>
    </w:p>
    <w:p w14:paraId="713101FC" w14:textId="49600B9F" w:rsidR="009E622E" w:rsidRDefault="005A170E" w:rsidP="005A170E">
      <w:pPr>
        <w:pStyle w:val="ListParagraph"/>
        <w:numPr>
          <w:ilvl w:val="0"/>
          <w:numId w:val="16"/>
        </w:numPr>
        <w:spacing w:after="0" w:line="240" w:lineRule="auto"/>
        <w:rPr>
          <w:color w:val="000000" w:themeColor="text1"/>
          <w:szCs w:val="20"/>
        </w:rPr>
      </w:pPr>
      <w:r w:rsidRPr="005A170E">
        <w:rPr>
          <w:color w:val="000000" w:themeColor="text1"/>
          <w:szCs w:val="20"/>
        </w:rPr>
        <w:t xml:space="preserve">Documentation of Provision of Services </w:t>
      </w:r>
    </w:p>
    <w:p w14:paraId="4C6DFF2C" w14:textId="77777777" w:rsidR="009E622E" w:rsidRPr="009E622E" w:rsidRDefault="009E622E" w:rsidP="009E622E"/>
    <w:p w14:paraId="4D776AC1" w14:textId="77777777" w:rsidR="009E622E" w:rsidRPr="009E622E" w:rsidRDefault="009E622E" w:rsidP="009E622E"/>
    <w:p w14:paraId="3ED9AABA" w14:textId="77777777" w:rsidR="009E622E" w:rsidRPr="009E622E" w:rsidRDefault="009E622E" w:rsidP="009E622E"/>
    <w:p w14:paraId="64E04729" w14:textId="77777777" w:rsidR="009E622E" w:rsidRPr="009E622E" w:rsidRDefault="009E622E" w:rsidP="009E622E"/>
    <w:p w14:paraId="079E9C6F" w14:textId="77777777" w:rsidR="009E622E" w:rsidRPr="009E622E" w:rsidRDefault="009E622E" w:rsidP="009E622E"/>
    <w:p w14:paraId="480368B2" w14:textId="77777777" w:rsidR="009E622E" w:rsidRPr="009E622E" w:rsidRDefault="009E622E" w:rsidP="009E622E"/>
    <w:p w14:paraId="7E7269E9" w14:textId="77777777" w:rsidR="009E622E" w:rsidRPr="009E622E" w:rsidRDefault="009E622E" w:rsidP="009E622E"/>
    <w:p w14:paraId="2BE7A965" w14:textId="77777777" w:rsidR="009E622E" w:rsidRPr="009E622E" w:rsidRDefault="009E622E" w:rsidP="009E622E"/>
    <w:p w14:paraId="31096ADA" w14:textId="77777777" w:rsidR="009E622E" w:rsidRPr="009E622E" w:rsidRDefault="009E622E" w:rsidP="009E622E"/>
    <w:p w14:paraId="41896928" w14:textId="77777777" w:rsidR="009E622E" w:rsidRPr="009E622E" w:rsidRDefault="009E622E" w:rsidP="009E622E"/>
    <w:p w14:paraId="78B4567A" w14:textId="77777777" w:rsidR="009E622E" w:rsidRPr="009E622E" w:rsidRDefault="009E622E" w:rsidP="009E622E"/>
    <w:p w14:paraId="2D2C9576" w14:textId="678960DF" w:rsidR="009E622E" w:rsidRPr="009E622E" w:rsidRDefault="00957A3E" w:rsidP="00957A3E">
      <w:pPr>
        <w:tabs>
          <w:tab w:val="left" w:pos="2265"/>
        </w:tabs>
      </w:pPr>
      <w:r>
        <w:tab/>
      </w:r>
    </w:p>
    <w:p w14:paraId="04AAA0B1" w14:textId="226EAAD5" w:rsidR="005A170E" w:rsidRPr="009E622E" w:rsidRDefault="009E622E" w:rsidP="009E622E">
      <w:pPr>
        <w:tabs>
          <w:tab w:val="left" w:pos="2445"/>
        </w:tabs>
      </w:pPr>
      <w:r>
        <w:lastRenderedPageBreak/>
        <w:tab/>
      </w:r>
    </w:p>
    <w:sectPr w:rsidR="005A170E" w:rsidRPr="009E622E" w:rsidSect="00A15E59">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7C96" w14:textId="77777777" w:rsidR="00876A40" w:rsidRDefault="00876A40">
      <w:pPr>
        <w:spacing w:after="0" w:line="240" w:lineRule="auto"/>
      </w:pPr>
      <w:r>
        <w:separator/>
      </w:r>
    </w:p>
  </w:endnote>
  <w:endnote w:type="continuationSeparator" w:id="0">
    <w:p w14:paraId="77D2ACBD" w14:textId="77777777" w:rsidR="00876A40" w:rsidRDefault="00876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B4246" w14:textId="77777777" w:rsidR="00957A3E" w:rsidRDefault="00957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3"/>
      <w:gridCol w:w="6077"/>
    </w:tblGrid>
    <w:tr w:rsidR="00A15E59" w:rsidRPr="00CD22C5" w14:paraId="48987D8F" w14:textId="77777777" w:rsidTr="007A30FA">
      <w:trPr>
        <w:jc w:val="center"/>
      </w:trPr>
      <w:tc>
        <w:tcPr>
          <w:tcW w:w="3348" w:type="dxa"/>
          <w:vAlign w:val="center"/>
        </w:tcPr>
        <w:p w14:paraId="1418AEB8" w14:textId="3F28EE2F"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2526EA">
            <w:rPr>
              <w:b w:val="0"/>
              <w:sz w:val="16"/>
              <w:szCs w:val="16"/>
            </w:rPr>
            <w:t>Procedures</w:t>
          </w:r>
        </w:p>
      </w:tc>
      <w:tc>
        <w:tcPr>
          <w:tcW w:w="6228" w:type="dxa"/>
          <w:vAlign w:val="center"/>
        </w:tcPr>
        <w:p w14:paraId="11F39499" w14:textId="77777777" w:rsidR="00A15E59" w:rsidRPr="009A1B8F" w:rsidRDefault="00EB2CD0" w:rsidP="007A30FA">
          <w:pPr>
            <w:pStyle w:val="Footer"/>
            <w:tabs>
              <w:tab w:val="left" w:pos="1260"/>
            </w:tabs>
            <w:jc w:val="right"/>
            <w:rPr>
              <w:sz w:val="16"/>
              <w:szCs w:val="16"/>
            </w:rPr>
          </w:pPr>
          <w:r>
            <w:rPr>
              <w:sz w:val="16"/>
              <w:szCs w:val="16"/>
            </w:rPr>
            <w:t>FUNDING FOR NONEDUCATIONAL SERVICES</w:t>
          </w:r>
        </w:p>
      </w:tc>
    </w:tr>
    <w:tr w:rsidR="00A15E59" w:rsidRPr="00CD22C5" w14:paraId="05F25F34" w14:textId="77777777" w:rsidTr="007A30FA">
      <w:trPr>
        <w:jc w:val="center"/>
      </w:trPr>
      <w:tc>
        <w:tcPr>
          <w:tcW w:w="3348" w:type="dxa"/>
          <w:vAlign w:val="center"/>
        </w:tcPr>
        <w:p w14:paraId="1D15B7D5" w14:textId="3DDCAC94"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9E622E" w:rsidRPr="00957A3E">
            <w:rPr>
              <w:b w:val="0"/>
              <w:sz w:val="16"/>
              <w:szCs w:val="16"/>
            </w:rPr>
            <w:t>08/202</w:t>
          </w:r>
          <w:r w:rsidR="007F0C3D">
            <w:rPr>
              <w:b w:val="0"/>
              <w:sz w:val="16"/>
              <w:szCs w:val="16"/>
            </w:rPr>
            <w:t>5</w:t>
          </w:r>
          <w:bookmarkStart w:id="0" w:name="_GoBack"/>
          <w:bookmarkEnd w:id="0"/>
        </w:p>
      </w:tc>
      <w:tc>
        <w:tcPr>
          <w:tcW w:w="6228" w:type="dxa"/>
          <w:vAlign w:val="center"/>
        </w:tcPr>
        <w:p w14:paraId="653A3AE5"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B56E9D">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B56E9D">
            <w:rPr>
              <w:b w:val="0"/>
              <w:noProof/>
              <w:sz w:val="16"/>
              <w:szCs w:val="16"/>
            </w:rPr>
            <w:t>1</w:t>
          </w:r>
          <w:r w:rsidRPr="00CD22C5">
            <w:rPr>
              <w:b w:val="0"/>
              <w:sz w:val="16"/>
              <w:szCs w:val="16"/>
            </w:rPr>
            <w:fldChar w:fldCharType="end"/>
          </w:r>
        </w:p>
      </w:tc>
    </w:tr>
  </w:tbl>
  <w:p w14:paraId="3E3AF29B"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1790AC00" w14:textId="77777777" w:rsidTr="00CD22C5">
      <w:tc>
        <w:tcPr>
          <w:tcW w:w="4338" w:type="dxa"/>
          <w:vAlign w:val="center"/>
        </w:tcPr>
        <w:p w14:paraId="3D0782C0"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642FC475"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052375EC" w14:textId="77777777" w:rsidTr="00CD22C5">
      <w:tc>
        <w:tcPr>
          <w:tcW w:w="4338" w:type="dxa"/>
          <w:vAlign w:val="center"/>
        </w:tcPr>
        <w:p w14:paraId="24233A44"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767F1A5E"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CD4B83">
            <w:rPr>
              <w:b w:val="0"/>
              <w:noProof/>
              <w:sz w:val="16"/>
              <w:szCs w:val="16"/>
            </w:rPr>
            <w:t>2</w:t>
          </w:r>
          <w:r w:rsidRPr="00CD22C5">
            <w:rPr>
              <w:b w:val="0"/>
              <w:sz w:val="16"/>
              <w:szCs w:val="16"/>
            </w:rPr>
            <w:fldChar w:fldCharType="end"/>
          </w:r>
        </w:p>
      </w:tc>
    </w:tr>
  </w:tbl>
  <w:p w14:paraId="3C6F9642"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5F62C" w14:textId="77777777" w:rsidR="00876A40" w:rsidRDefault="00876A40">
      <w:pPr>
        <w:spacing w:after="0" w:line="240" w:lineRule="auto"/>
      </w:pPr>
      <w:r>
        <w:separator/>
      </w:r>
    </w:p>
  </w:footnote>
  <w:footnote w:type="continuationSeparator" w:id="0">
    <w:p w14:paraId="646A7813" w14:textId="77777777" w:rsidR="00876A40" w:rsidRDefault="00876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FBD78" w14:textId="77777777" w:rsidR="00957A3E" w:rsidRDefault="00957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2262F16E"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2BD1958C"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2526EA">
            <w:rPr>
              <w:sz w:val="24"/>
            </w:rPr>
            <w:t>PROCEDURES</w:t>
          </w:r>
        </w:p>
      </w:tc>
    </w:tr>
    <w:tr w:rsidR="00A15E59" w:rsidRPr="00A15E59" w14:paraId="26CC09A7"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48D4CD12" w14:textId="77777777" w:rsidR="00727C62" w:rsidRPr="00A15E59" w:rsidRDefault="00EB2CD0" w:rsidP="00EB2CD0">
          <w:pPr>
            <w:pStyle w:val="Header"/>
            <w:spacing w:before="0"/>
            <w:jc w:val="center"/>
            <w:rPr>
              <w:sz w:val="24"/>
            </w:rPr>
          </w:pPr>
          <w:r>
            <w:rPr>
              <w:sz w:val="24"/>
            </w:rPr>
            <w:t>FUNDING FOR NONEDUCATIONAL SERVICES</w:t>
          </w:r>
        </w:p>
      </w:tc>
    </w:tr>
    <w:tr w:rsidR="00A15E59" w:rsidRPr="00A15E59" w14:paraId="334DFA34"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7C9B0489" w14:textId="1887DF47" w:rsidR="005A170E" w:rsidRPr="00A15E59" w:rsidRDefault="005A170E" w:rsidP="0017202D">
          <w:pPr>
            <w:pStyle w:val="Header"/>
            <w:spacing w:before="0"/>
            <w:jc w:val="left"/>
          </w:pPr>
          <w:r>
            <w:t>Robertson County Special Services</w:t>
          </w:r>
        </w:p>
      </w:tc>
      <w:tc>
        <w:tcPr>
          <w:tcW w:w="1710" w:type="dxa"/>
          <w:vAlign w:val="center"/>
        </w:tcPr>
        <w:p w14:paraId="6209F6CD" w14:textId="093CE031"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51846DAA"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35ECB" w14:textId="77777777" w:rsidR="00957A3E" w:rsidRDefault="00957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F0F5CD3"/>
    <w:multiLevelType w:val="hybridMultilevel"/>
    <w:tmpl w:val="1B6EB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AC1D57"/>
    <w:multiLevelType w:val="multilevel"/>
    <w:tmpl w:val="164CC3C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1D7124CB"/>
    <w:multiLevelType w:val="hybridMultilevel"/>
    <w:tmpl w:val="89FAB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3960AC"/>
    <w:multiLevelType w:val="hybridMultilevel"/>
    <w:tmpl w:val="78C82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94F82"/>
    <w:multiLevelType w:val="hybridMultilevel"/>
    <w:tmpl w:val="344A8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9"/>
  </w:num>
  <w:num w:numId="14">
    <w:abstractNumId w:val="14"/>
  </w:num>
  <w:num w:numId="15">
    <w:abstractNumId w:val="11"/>
  </w:num>
  <w:num w:numId="16">
    <w:abstractNumId w:val="1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76F07"/>
    <w:rsid w:val="000C084D"/>
    <w:rsid w:val="000C551A"/>
    <w:rsid w:val="000F03C9"/>
    <w:rsid w:val="0010401E"/>
    <w:rsid w:val="00140EB8"/>
    <w:rsid w:val="0017202D"/>
    <w:rsid w:val="002045E8"/>
    <w:rsid w:val="002526EA"/>
    <w:rsid w:val="00271990"/>
    <w:rsid w:val="00287E6A"/>
    <w:rsid w:val="002C30D8"/>
    <w:rsid w:val="0031359F"/>
    <w:rsid w:val="003920EE"/>
    <w:rsid w:val="003F3B9C"/>
    <w:rsid w:val="00426C23"/>
    <w:rsid w:val="00452D0C"/>
    <w:rsid w:val="00462709"/>
    <w:rsid w:val="004A7045"/>
    <w:rsid w:val="004E2A26"/>
    <w:rsid w:val="004F452C"/>
    <w:rsid w:val="005A170E"/>
    <w:rsid w:val="006B77B7"/>
    <w:rsid w:val="006E3F0A"/>
    <w:rsid w:val="00727C62"/>
    <w:rsid w:val="00776CDF"/>
    <w:rsid w:val="007A30FA"/>
    <w:rsid w:val="007A37D0"/>
    <w:rsid w:val="007B0D2B"/>
    <w:rsid w:val="007F0C3D"/>
    <w:rsid w:val="007F261D"/>
    <w:rsid w:val="007F5844"/>
    <w:rsid w:val="00850B01"/>
    <w:rsid w:val="0086497E"/>
    <w:rsid w:val="00876A40"/>
    <w:rsid w:val="00884D94"/>
    <w:rsid w:val="008E1425"/>
    <w:rsid w:val="00927007"/>
    <w:rsid w:val="009415A3"/>
    <w:rsid w:val="00957A3E"/>
    <w:rsid w:val="00962988"/>
    <w:rsid w:val="00976E6E"/>
    <w:rsid w:val="009A1473"/>
    <w:rsid w:val="009E622E"/>
    <w:rsid w:val="00A15E59"/>
    <w:rsid w:val="00AE4B1B"/>
    <w:rsid w:val="00AF5053"/>
    <w:rsid w:val="00B31302"/>
    <w:rsid w:val="00B56E9D"/>
    <w:rsid w:val="00B801FE"/>
    <w:rsid w:val="00BC3385"/>
    <w:rsid w:val="00BF06FA"/>
    <w:rsid w:val="00C24BAB"/>
    <w:rsid w:val="00C2558A"/>
    <w:rsid w:val="00CD22C5"/>
    <w:rsid w:val="00CD4B83"/>
    <w:rsid w:val="00CE0D2D"/>
    <w:rsid w:val="00CE5EEE"/>
    <w:rsid w:val="00D06770"/>
    <w:rsid w:val="00D45E93"/>
    <w:rsid w:val="00D471C3"/>
    <w:rsid w:val="00D54A17"/>
    <w:rsid w:val="00D80376"/>
    <w:rsid w:val="00DB231F"/>
    <w:rsid w:val="00DF3481"/>
    <w:rsid w:val="00DF5B9C"/>
    <w:rsid w:val="00E00450"/>
    <w:rsid w:val="00E009AB"/>
    <w:rsid w:val="00E07AF6"/>
    <w:rsid w:val="00E164D4"/>
    <w:rsid w:val="00E21132"/>
    <w:rsid w:val="00E33425"/>
    <w:rsid w:val="00EB2CD0"/>
    <w:rsid w:val="00ED5C01"/>
    <w:rsid w:val="00EE1684"/>
    <w:rsid w:val="00F04CEA"/>
    <w:rsid w:val="00F90C95"/>
    <w:rsid w:val="00F90F60"/>
    <w:rsid w:val="00FC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BD4B6"/>
  <w15:docId w15:val="{0A661470-46D3-4660-BE8D-6E25FC8E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aliases w:val="Numbered List Paragraph"/>
    <w:basedOn w:val="Normal"/>
    <w:link w:val="ListParagraphChar"/>
    <w:uiPriority w:val="34"/>
    <w:qFormat/>
    <w:rsid w:val="00D06770"/>
    <w:pPr>
      <w:ind w:left="720"/>
      <w:contextualSpacing/>
    </w:pPr>
  </w:style>
  <w:style w:type="character" w:customStyle="1" w:styleId="ListParagraphChar">
    <w:name w:val="List Paragraph Char"/>
    <w:aliases w:val="Numbered List Paragraph Char"/>
    <w:link w:val="ListParagraph"/>
    <w:uiPriority w:val="34"/>
    <w:locked/>
    <w:rsid w:val="005A170E"/>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506357">
      <w:bodyDiv w:val="1"/>
      <w:marLeft w:val="0"/>
      <w:marRight w:val="0"/>
      <w:marTop w:val="0"/>
      <w:marBottom w:val="0"/>
      <w:divBdr>
        <w:top w:val="none" w:sz="0" w:space="0" w:color="auto"/>
        <w:left w:val="none" w:sz="0" w:space="0" w:color="auto"/>
        <w:bottom w:val="none" w:sz="0" w:space="0" w:color="auto"/>
        <w:right w:val="none" w:sz="0" w:space="0" w:color="auto"/>
      </w:divBdr>
    </w:div>
    <w:div w:id="1428236980">
      <w:bodyDiv w:val="1"/>
      <w:marLeft w:val="0"/>
      <w:marRight w:val="0"/>
      <w:marTop w:val="0"/>
      <w:marBottom w:val="0"/>
      <w:divBdr>
        <w:top w:val="none" w:sz="0" w:space="0" w:color="auto"/>
        <w:left w:val="none" w:sz="0" w:space="0" w:color="auto"/>
        <w:bottom w:val="none" w:sz="0" w:space="0" w:color="auto"/>
        <w:right w:val="none" w:sz="0" w:space="0" w:color="auto"/>
      </w:divBdr>
    </w:div>
    <w:div w:id="1551117006">
      <w:bodyDiv w:val="1"/>
      <w:marLeft w:val="0"/>
      <w:marRight w:val="0"/>
      <w:marTop w:val="0"/>
      <w:marBottom w:val="0"/>
      <w:divBdr>
        <w:top w:val="none" w:sz="0" w:space="0" w:color="auto"/>
        <w:left w:val="none" w:sz="0" w:space="0" w:color="auto"/>
        <w:bottom w:val="none" w:sz="0" w:space="0" w:color="auto"/>
        <w:right w:val="none" w:sz="0" w:space="0" w:color="auto"/>
      </w:divBdr>
    </w:div>
    <w:div w:id="18519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76&amp;DT=G&amp;LID=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framework.esc18.net/display/Webforms/LandingPage.aspx" TargetMode="External"/><Relationship Id="rId4" Type="http://schemas.openxmlformats.org/officeDocument/2006/relationships/settings" Target="settings.xml"/><Relationship Id="rId9" Type="http://schemas.openxmlformats.org/officeDocument/2006/relationships/hyperlink" Target="http://tea.texas.gov/Academics/Special_Education/Non-educational_Community-Based_Support_Servic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A54355B-E0A6-4B13-9FE9-CCFE0482F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24</cp:revision>
  <cp:lastPrinted>2016-03-14T18:29:00Z</cp:lastPrinted>
  <dcterms:created xsi:type="dcterms:W3CDTF">2021-11-01T16:57:00Z</dcterms:created>
  <dcterms:modified xsi:type="dcterms:W3CDTF">2025-10-27T14:58:00Z</dcterms:modified>
</cp:coreProperties>
</file>