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AC1C7"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E328C5">
          <w:rPr>
            <w:rStyle w:val="Hyperlink"/>
            <w:szCs w:val="20"/>
          </w:rPr>
          <w:t>Parent</w:t>
        </w:r>
      </w:hyperlink>
      <w:r w:rsidRPr="008E1425">
        <w:rPr>
          <w:color w:val="000000" w:themeColor="text1"/>
          <w:szCs w:val="20"/>
        </w:rPr>
        <w:t xml:space="preserve"> </w:t>
      </w:r>
    </w:p>
    <w:p w14:paraId="0D88C05E" w14:textId="654E78A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E328C5">
        <w:rPr>
          <w:color w:val="000000" w:themeColor="text1"/>
          <w:szCs w:val="20"/>
        </w:rPr>
        <w:t>Parent</w:t>
      </w:r>
      <w:r w:rsidR="009415A3">
        <w:rPr>
          <w:color w:val="000099"/>
          <w:szCs w:val="20"/>
        </w:rPr>
        <w:tab/>
      </w:r>
      <w:r w:rsidR="00980EAE">
        <w:rPr>
          <w:color w:val="000000" w:themeColor="text1"/>
          <w:sz w:val="12"/>
          <w:szCs w:val="12"/>
        </w:rPr>
        <w:t xml:space="preserve">Template update </w:t>
      </w:r>
      <w:r w:rsidR="009E6382">
        <w:rPr>
          <w:color w:val="000000" w:themeColor="text1"/>
          <w:sz w:val="12"/>
          <w:szCs w:val="12"/>
        </w:rPr>
        <w:t>Feb 2018</w:t>
      </w:r>
    </w:p>
    <w:p w14:paraId="52489E27" w14:textId="77777777" w:rsidR="00D46B8E" w:rsidRPr="00E328C5" w:rsidRDefault="00D46B8E" w:rsidP="00E328C5">
      <w:pPr>
        <w:spacing w:after="0" w:line="240" w:lineRule="auto"/>
        <w:jc w:val="both"/>
        <w:rPr>
          <w:rFonts w:eastAsia="Times New Roman" w:cs="Times New Roman"/>
          <w:color w:val="auto"/>
          <w:szCs w:val="20"/>
        </w:rPr>
      </w:pPr>
    </w:p>
    <w:p w14:paraId="46E82D5D" w14:textId="77777777" w:rsidR="00E328C5" w:rsidRPr="00E328C5" w:rsidRDefault="00E328C5" w:rsidP="00E328C5">
      <w:pPr>
        <w:spacing w:after="0" w:line="240" w:lineRule="auto"/>
        <w:jc w:val="both"/>
        <w:rPr>
          <w:rFonts w:eastAsia="Times New Roman" w:cs="Times New Roman"/>
          <w:color w:val="auto"/>
          <w:szCs w:val="20"/>
        </w:rPr>
      </w:pPr>
      <w:r w:rsidRPr="00E328C5">
        <w:rPr>
          <w:rFonts w:eastAsia="Times New Roman" w:cs="Times New Roman"/>
          <w:color w:val="auto"/>
          <w:szCs w:val="20"/>
        </w:rPr>
        <w:t>“The phrase ‘attempting to act as a parent’ is generally meant to refer to situations in which an individual attempts to assume the responsibilities of a parent under the Act. An individual may ‘attempt to act as a parent’ under the Act in many situations; for example, if an individual provides consent for an evaluation or reevaluation, or attends an [individualized education program] IEP Team meeting as the child’s parent.  We do not believe it is necessary or possible to include in these regulations the numerous situations in which an individual may ‘attempt to act as a parent.’”  71 Fed. Reg. 46567 (August 14, 2004).</w:t>
      </w:r>
    </w:p>
    <w:p w14:paraId="5421118A" w14:textId="77777777" w:rsidR="00E328C5" w:rsidRPr="00E328C5" w:rsidRDefault="00E328C5" w:rsidP="00E328C5">
      <w:pPr>
        <w:spacing w:after="0" w:line="240" w:lineRule="auto"/>
        <w:jc w:val="both"/>
        <w:rPr>
          <w:rFonts w:eastAsia="Times New Roman" w:cs="Times New Roman"/>
          <w:color w:val="auto"/>
          <w:szCs w:val="20"/>
        </w:rPr>
      </w:pPr>
    </w:p>
    <w:p w14:paraId="13AAC349" w14:textId="77777777" w:rsidR="00E328C5" w:rsidRDefault="00E328C5" w:rsidP="00E328C5">
      <w:pPr>
        <w:spacing w:after="0" w:line="240" w:lineRule="auto"/>
        <w:jc w:val="both"/>
        <w:rPr>
          <w:rFonts w:eastAsia="Times New Roman" w:cs="Times New Roman"/>
          <w:color w:val="auto"/>
          <w:szCs w:val="20"/>
        </w:rPr>
      </w:pPr>
      <w:r w:rsidRPr="00E328C5">
        <w:rPr>
          <w:rFonts w:eastAsia="Times New Roman" w:cs="Times New Roman"/>
          <w:color w:val="auto"/>
          <w:szCs w:val="20"/>
        </w:rPr>
        <w:t>“A private agency that contracts with a public agency for the education or care of the child, in essence, works for the public agency, and therefore, could not act as a parent under the Act.”  71 Fed. Reg. 46568 (August 14, 2004).</w:t>
      </w:r>
    </w:p>
    <w:p w14:paraId="19128D6E" w14:textId="77777777" w:rsidR="00E328C5" w:rsidRPr="00E328C5" w:rsidRDefault="00E328C5" w:rsidP="00E328C5">
      <w:pPr>
        <w:spacing w:after="0" w:line="240" w:lineRule="auto"/>
        <w:jc w:val="both"/>
        <w:rPr>
          <w:rFonts w:eastAsia="Times New Roman" w:cs="Times New Roman"/>
          <w:color w:val="auto"/>
          <w:szCs w:val="20"/>
        </w:rPr>
      </w:pPr>
    </w:p>
    <w:p w14:paraId="77C87A7E" w14:textId="77777777" w:rsidR="00E328C5" w:rsidRDefault="00E328C5" w:rsidP="00E328C5">
      <w:pPr>
        <w:spacing w:after="0" w:line="240" w:lineRule="auto"/>
        <w:jc w:val="both"/>
        <w:rPr>
          <w:rFonts w:eastAsia="Times New Roman" w:cs="Arial"/>
          <w:i/>
          <w:color w:val="000000"/>
          <w:szCs w:val="20"/>
        </w:rPr>
      </w:pPr>
      <w:r w:rsidRPr="00E328C5">
        <w:rPr>
          <w:rFonts w:eastAsia="Times New Roman" w:cs="Arial"/>
          <w:color w:val="000000"/>
          <w:szCs w:val="20"/>
        </w:rPr>
        <w:t xml:space="preserve">“In determining who the </w:t>
      </w:r>
      <w:r w:rsidR="00F964EF">
        <w:rPr>
          <w:rFonts w:eastAsia="Times New Roman" w:cs="Arial"/>
          <w:color w:val="000000"/>
          <w:szCs w:val="20"/>
        </w:rPr>
        <w:t xml:space="preserve">[local educational agency] </w:t>
      </w:r>
      <w:r w:rsidRPr="00E328C5">
        <w:rPr>
          <w:rFonts w:eastAsia="Times New Roman" w:cs="Arial"/>
          <w:color w:val="000000"/>
          <w:szCs w:val="20"/>
        </w:rPr>
        <w:t>LEA must consider a parent, and who therefore has the parental right to revoke consent, 34 CFR § 300.30(b)(1) provides that the biological or adoptive parent, when attempting to act as the parent under Part B, and when more than one party is qualified under 34 CFR § 300.30(a) to act as a parent, must be presumed to be the parent for purposes of this section unless the biological or adoptive parent does not have legal authority to make educational decisions for the child.”</w:t>
      </w:r>
      <w:r>
        <w:rPr>
          <w:rFonts w:eastAsia="Times New Roman" w:cs="Arial"/>
          <w:color w:val="000000"/>
          <w:szCs w:val="20"/>
        </w:rPr>
        <w:t xml:space="preserve"> </w:t>
      </w:r>
      <w:r w:rsidRPr="00E328C5">
        <w:rPr>
          <w:rFonts w:eastAsia="Times New Roman" w:cs="Arial"/>
          <w:color w:val="000000"/>
          <w:szCs w:val="20"/>
        </w:rPr>
        <w:t xml:space="preserve"> </w:t>
      </w:r>
      <w:hyperlink r:id="rId9" w:history="1">
        <w:r w:rsidRPr="00E328C5">
          <w:rPr>
            <w:rFonts w:eastAsia="Times New Roman" w:cs="Arial"/>
            <w:i/>
            <w:color w:val="0000FF"/>
            <w:szCs w:val="20"/>
            <w:u w:val="single"/>
          </w:rPr>
          <w:t xml:space="preserve">OSEP Letter to Cox </w:t>
        </w:r>
        <w:r w:rsidRPr="005F40B0">
          <w:rPr>
            <w:rFonts w:eastAsia="Times New Roman" w:cs="Arial"/>
            <w:color w:val="0000FF"/>
            <w:szCs w:val="20"/>
            <w:u w:val="single"/>
          </w:rPr>
          <w:t>(August 21, 2009)</w:t>
        </w:r>
      </w:hyperlink>
      <w:r w:rsidRPr="0099237D">
        <w:rPr>
          <w:rFonts w:eastAsia="Times New Roman" w:cs="Arial"/>
          <w:color w:val="auto"/>
          <w:szCs w:val="20"/>
        </w:rPr>
        <w:t>.</w:t>
      </w:r>
    </w:p>
    <w:p w14:paraId="61102331" w14:textId="77777777" w:rsidR="00E328C5" w:rsidRPr="00E328C5" w:rsidRDefault="00E328C5" w:rsidP="00E328C5">
      <w:pPr>
        <w:spacing w:after="0" w:line="240" w:lineRule="auto"/>
        <w:jc w:val="both"/>
        <w:rPr>
          <w:rFonts w:eastAsia="Times New Roman" w:cs="Arial"/>
          <w:color w:val="000000"/>
          <w:szCs w:val="20"/>
        </w:rPr>
      </w:pPr>
    </w:p>
    <w:p w14:paraId="4322EC89" w14:textId="77777777" w:rsidR="00E328C5" w:rsidRDefault="00E328C5" w:rsidP="00E328C5">
      <w:pPr>
        <w:spacing w:after="0" w:line="240" w:lineRule="auto"/>
        <w:jc w:val="both"/>
        <w:rPr>
          <w:rFonts w:eastAsia="Times New Roman" w:cs="Arial"/>
          <w:color w:val="000000"/>
          <w:szCs w:val="20"/>
        </w:rPr>
      </w:pPr>
      <w:r w:rsidRPr="00E328C5">
        <w:rPr>
          <w:rFonts w:eastAsia="Times New Roman" w:cs="Arial"/>
          <w:color w:val="000000"/>
          <w:szCs w:val="20"/>
        </w:rPr>
        <w:t xml:space="preserve">“May a foster parent provide consent for an initial evaluation even if the biological parent refuses to provide such consent? Answer: If the biological parent of the child ref uses consent for an initial evaluation of the child, and the parental rights of the biological parent have not been terminated in accordance with State law, or a court has not designated a foster parent to make educational decisions for the child in accordance with State law, a foster parent may not provide consent for an initial evaluation. See 34 CFR § 300.30(b)(1).”  </w:t>
      </w:r>
      <w:hyperlink r:id="rId10" w:history="1">
        <w:r w:rsidRPr="00E328C5">
          <w:rPr>
            <w:rFonts w:eastAsia="Times New Roman" w:cs="Arial"/>
            <w:i/>
            <w:color w:val="0000FF"/>
            <w:szCs w:val="20"/>
            <w:u w:val="single"/>
          </w:rPr>
          <w:t xml:space="preserve">OSERS </w:t>
        </w:r>
        <w:r w:rsidRPr="00E328C5">
          <w:rPr>
            <w:rFonts w:eastAsia="Times New Roman" w:cs="Arial"/>
            <w:bCs/>
            <w:i/>
            <w:iCs/>
            <w:color w:val="0000FF"/>
            <w:szCs w:val="20"/>
            <w:u w:val="single"/>
          </w:rPr>
          <w:t>Questions and Answers on Individualized Education Programs (IEPs), Evaluations, and Reevaluations</w:t>
        </w:r>
        <w:r w:rsidRPr="00E328C5">
          <w:rPr>
            <w:rFonts w:eastAsia="Times New Roman" w:cs="Arial"/>
            <w:bCs/>
            <w:i/>
            <w:color w:val="0000FF"/>
            <w:szCs w:val="20"/>
            <w:u w:val="single"/>
          </w:rPr>
          <w:t xml:space="preserve"> </w:t>
        </w:r>
        <w:r w:rsidRPr="005F40B0">
          <w:rPr>
            <w:rFonts w:eastAsia="Times New Roman" w:cs="Arial"/>
            <w:bCs/>
            <w:color w:val="0000FF"/>
            <w:szCs w:val="20"/>
            <w:u w:val="single"/>
          </w:rPr>
          <w:t>(September 2011)</w:t>
        </w:r>
      </w:hyperlink>
      <w:r w:rsidRPr="0099237D">
        <w:rPr>
          <w:rFonts w:eastAsia="Times New Roman" w:cs="Arial"/>
          <w:color w:val="auto"/>
          <w:szCs w:val="20"/>
        </w:rPr>
        <w:t>.</w:t>
      </w:r>
    </w:p>
    <w:p w14:paraId="2DD92687" w14:textId="77777777" w:rsidR="00E328C5" w:rsidRPr="00E328C5" w:rsidRDefault="00E328C5" w:rsidP="00E328C5">
      <w:pPr>
        <w:spacing w:after="0" w:line="240" w:lineRule="auto"/>
        <w:jc w:val="both"/>
        <w:rPr>
          <w:rFonts w:eastAsia="Times New Roman" w:cs="Arial"/>
          <w:color w:val="000000"/>
          <w:szCs w:val="20"/>
        </w:rPr>
      </w:pPr>
    </w:p>
    <w:p w14:paraId="7EA7CBF3" w14:textId="77777777" w:rsidR="00E328C5" w:rsidRDefault="00E328C5" w:rsidP="00E328C5">
      <w:pPr>
        <w:spacing w:after="0" w:line="240" w:lineRule="auto"/>
        <w:jc w:val="both"/>
        <w:rPr>
          <w:rFonts w:eastAsia="Times New Roman" w:cs="Arial"/>
          <w:color w:val="000000"/>
          <w:szCs w:val="20"/>
        </w:rPr>
      </w:pPr>
      <w:r w:rsidRPr="00E328C5">
        <w:rPr>
          <w:rFonts w:eastAsia="Times New Roman" w:cs="Arial"/>
          <w:color w:val="000000"/>
          <w:szCs w:val="20"/>
        </w:rPr>
        <w:t>“[A]s long as the parent has the legal authority to make educational decisions for the child, the LEA must accept either parent's revocation of consent for the purposes of 34 CFR § 300.300(b)(4). Upon revocation of consent for special education and related services, the LEA must provide the parent with prior written notice in accordance with 34 CFR § 300.503 before ceasing the provision of special education and related services. 34 CFR § 300.300(b)(4)(</w:t>
      </w:r>
      <w:proofErr w:type="spellStart"/>
      <w:r w:rsidRPr="00E328C5">
        <w:rPr>
          <w:rFonts w:eastAsia="Times New Roman" w:cs="Arial"/>
          <w:color w:val="000000"/>
          <w:szCs w:val="20"/>
        </w:rPr>
        <w:t>i</w:t>
      </w:r>
      <w:proofErr w:type="spellEnd"/>
      <w:r w:rsidRPr="00E328C5">
        <w:rPr>
          <w:rFonts w:eastAsia="Times New Roman" w:cs="Arial"/>
          <w:color w:val="000000"/>
          <w:szCs w:val="20"/>
        </w:rPr>
        <w:t xml:space="preserve">).”  </w:t>
      </w:r>
      <w:hyperlink r:id="rId11" w:history="1">
        <w:r w:rsidRPr="00E328C5">
          <w:rPr>
            <w:rFonts w:eastAsia="Times New Roman" w:cs="Arial"/>
            <w:i/>
            <w:color w:val="0000FF"/>
            <w:szCs w:val="20"/>
            <w:u w:val="single"/>
          </w:rPr>
          <w:t xml:space="preserve">OSEP Letter to Cox </w:t>
        </w:r>
        <w:r w:rsidRPr="005F40B0">
          <w:rPr>
            <w:rFonts w:eastAsia="Times New Roman" w:cs="Arial"/>
            <w:color w:val="0000FF"/>
            <w:szCs w:val="20"/>
            <w:u w:val="single"/>
          </w:rPr>
          <w:t>(August 21, 2009)</w:t>
        </w:r>
      </w:hyperlink>
      <w:r w:rsidRPr="00E328C5">
        <w:rPr>
          <w:rFonts w:eastAsia="Times New Roman" w:cs="Arial"/>
          <w:color w:val="auto"/>
          <w:szCs w:val="20"/>
        </w:rPr>
        <w:t>.</w:t>
      </w:r>
    </w:p>
    <w:p w14:paraId="0648315A" w14:textId="77777777" w:rsidR="00E328C5" w:rsidRPr="00E328C5" w:rsidRDefault="00E328C5" w:rsidP="00E328C5">
      <w:pPr>
        <w:spacing w:after="0" w:line="240" w:lineRule="auto"/>
        <w:jc w:val="both"/>
        <w:rPr>
          <w:rFonts w:eastAsia="Times New Roman" w:cs="Arial"/>
          <w:color w:val="000000"/>
          <w:szCs w:val="20"/>
        </w:rPr>
      </w:pPr>
    </w:p>
    <w:p w14:paraId="1A99F7C7" w14:textId="77777777" w:rsidR="00E328C5" w:rsidRDefault="00E328C5" w:rsidP="00E328C5">
      <w:pPr>
        <w:spacing w:after="0" w:line="240" w:lineRule="auto"/>
        <w:jc w:val="both"/>
        <w:rPr>
          <w:rFonts w:eastAsia="Times New Roman" w:cs="Arial"/>
          <w:color w:val="000000"/>
          <w:szCs w:val="20"/>
        </w:rPr>
      </w:pPr>
      <w:r w:rsidRPr="00E328C5">
        <w:rPr>
          <w:rFonts w:eastAsia="Times New Roman" w:cs="Arial"/>
          <w:color w:val="000000"/>
          <w:szCs w:val="20"/>
        </w:rPr>
        <w:t xml:space="preserve">“Under Part B, any person who meets the </w:t>
      </w:r>
      <w:r w:rsidRPr="00E328C5">
        <w:rPr>
          <w:rFonts w:eastAsia="Times New Roman" w:cs="Arial"/>
          <w:bCs/>
          <w:color w:val="000000"/>
          <w:szCs w:val="20"/>
        </w:rPr>
        <w:t xml:space="preserve">definition </w:t>
      </w:r>
      <w:r w:rsidRPr="00E328C5">
        <w:rPr>
          <w:rFonts w:eastAsia="Times New Roman" w:cs="Arial"/>
          <w:color w:val="000000"/>
          <w:szCs w:val="20"/>
        </w:rPr>
        <w:t>of the term "</w:t>
      </w:r>
      <w:r w:rsidRPr="00E328C5">
        <w:rPr>
          <w:rFonts w:eastAsia="Times New Roman" w:cs="Arial"/>
          <w:bCs/>
          <w:color w:val="000000"/>
          <w:szCs w:val="20"/>
        </w:rPr>
        <w:t>parent</w:t>
      </w:r>
      <w:r w:rsidRPr="00E328C5">
        <w:rPr>
          <w:rFonts w:eastAsia="Times New Roman" w:cs="Arial"/>
          <w:color w:val="000000"/>
          <w:szCs w:val="20"/>
        </w:rPr>
        <w:t xml:space="preserve">" in 34 CFR § 300.30(a) with legal authority to make educational decisions on behalf of the child has the right to revoke consent in writing to the child's continued receipt of special education and related services any time subsequent to the initial provision of special education and related services. There is no requirement in Part B that the public agency obtain consent for the initial provision of special education and related services, or accept revocation of consent for the child's continued receipt of special education and related services, from both parents with legal authority to make educational decisions on behalf of the child. Further, Part B does not condition a public agency's ability to accept from a </w:t>
      </w:r>
      <w:r w:rsidRPr="00E328C5">
        <w:rPr>
          <w:rFonts w:eastAsia="Times New Roman" w:cs="Arial"/>
          <w:bCs/>
          <w:color w:val="000000"/>
          <w:szCs w:val="20"/>
        </w:rPr>
        <w:t>parent</w:t>
      </w:r>
      <w:r w:rsidRPr="00E328C5">
        <w:rPr>
          <w:rFonts w:eastAsia="Times New Roman" w:cs="Arial"/>
          <w:color w:val="000000"/>
          <w:szCs w:val="20"/>
        </w:rPr>
        <w:t xml:space="preserve"> with legal authority to make educational decisions on behalf of that child a revocation of consent for that child's continued receipt of special education and related services on the agreement of the child's other </w:t>
      </w:r>
      <w:r w:rsidRPr="00E328C5">
        <w:rPr>
          <w:rFonts w:eastAsia="Times New Roman" w:cs="Arial"/>
          <w:bCs/>
          <w:color w:val="000000"/>
          <w:szCs w:val="20"/>
        </w:rPr>
        <w:t>parent</w:t>
      </w:r>
      <w:r w:rsidRPr="00E328C5">
        <w:rPr>
          <w:rFonts w:eastAsia="Times New Roman" w:cs="Arial"/>
          <w:b/>
          <w:bCs/>
          <w:color w:val="000000"/>
          <w:szCs w:val="20"/>
        </w:rPr>
        <w:t>,</w:t>
      </w:r>
      <w:r w:rsidRPr="00E328C5">
        <w:rPr>
          <w:rFonts w:eastAsia="Times New Roman" w:cs="Arial"/>
          <w:color w:val="000000"/>
          <w:szCs w:val="20"/>
        </w:rPr>
        <w:t xml:space="preserve"> </w:t>
      </w:r>
      <w:r w:rsidRPr="00E328C5">
        <w:rPr>
          <w:rFonts w:eastAsia="Times New Roman" w:cs="Arial"/>
          <w:color w:val="000000"/>
          <w:szCs w:val="20"/>
        </w:rPr>
        <w:lastRenderedPageBreak/>
        <w:t xml:space="preserve">who provided consent for the initial provision of special education and related services to the child.”  </w:t>
      </w:r>
      <w:hyperlink r:id="rId12" w:history="1">
        <w:r w:rsidRPr="00E328C5">
          <w:rPr>
            <w:rFonts w:eastAsia="Times New Roman" w:cs="Arial"/>
            <w:i/>
            <w:color w:val="0000FF"/>
            <w:szCs w:val="20"/>
            <w:u w:val="single"/>
          </w:rPr>
          <w:t xml:space="preserve">OSEP Letter to Ward </w:t>
        </w:r>
        <w:r w:rsidRPr="005F40B0">
          <w:rPr>
            <w:rFonts w:eastAsia="Times New Roman" w:cs="Arial"/>
            <w:color w:val="0000FF"/>
            <w:szCs w:val="20"/>
            <w:u w:val="single"/>
          </w:rPr>
          <w:t>(August 31, 2010)</w:t>
        </w:r>
      </w:hyperlink>
      <w:r w:rsidRPr="0099237D">
        <w:rPr>
          <w:rFonts w:eastAsia="Times New Roman" w:cs="Arial"/>
          <w:color w:val="auto"/>
          <w:szCs w:val="20"/>
        </w:rPr>
        <w:t>.</w:t>
      </w:r>
    </w:p>
    <w:p w14:paraId="1FC35BF8" w14:textId="77777777" w:rsidR="00E328C5" w:rsidRPr="00E328C5" w:rsidRDefault="00E328C5" w:rsidP="00E328C5">
      <w:pPr>
        <w:spacing w:after="0" w:line="240" w:lineRule="auto"/>
        <w:jc w:val="both"/>
        <w:rPr>
          <w:rFonts w:eastAsia="Times New Roman" w:cs="Arial"/>
          <w:color w:val="000000"/>
          <w:szCs w:val="20"/>
        </w:rPr>
      </w:pPr>
    </w:p>
    <w:p w14:paraId="24AC084C" w14:textId="77777777" w:rsidR="00E328C5" w:rsidRDefault="00E328C5" w:rsidP="00E328C5">
      <w:pPr>
        <w:spacing w:after="0" w:line="240" w:lineRule="auto"/>
        <w:jc w:val="both"/>
        <w:rPr>
          <w:rFonts w:eastAsia="Times New Roman" w:cs="Arial"/>
          <w:color w:val="000000"/>
          <w:szCs w:val="20"/>
        </w:rPr>
      </w:pPr>
      <w:r w:rsidRPr="00E328C5">
        <w:rPr>
          <w:rFonts w:eastAsia="Times New Roman" w:cs="Arial"/>
          <w:color w:val="000000"/>
          <w:szCs w:val="20"/>
        </w:rPr>
        <w:t>“</w:t>
      </w:r>
      <w:r w:rsidR="006051AC">
        <w:rPr>
          <w:rFonts w:eastAsia="Times New Roman" w:cs="Arial"/>
          <w:color w:val="000000"/>
          <w:szCs w:val="20"/>
        </w:rPr>
        <w:t xml:space="preserve">[Office of Special Education Programs] </w:t>
      </w:r>
      <w:r w:rsidRPr="00E328C5">
        <w:rPr>
          <w:rFonts w:eastAsia="Times New Roman" w:cs="Arial"/>
          <w:color w:val="000000"/>
          <w:szCs w:val="20"/>
        </w:rPr>
        <w:t xml:space="preserve">OSEP acknowledges that disputes between parents who share the right to make educational decisions for their child, and who disagree about the provision of special education and related services for their child, may place an LEA in a difficult </w:t>
      </w:r>
      <w:r w:rsidRPr="003D7EB8">
        <w:rPr>
          <w:rFonts w:eastAsia="Times New Roman" w:cs="Arial"/>
          <w:color w:val="000000"/>
          <w:szCs w:val="20"/>
        </w:rPr>
        <w:t>situation</w:t>
      </w:r>
      <w:r w:rsidR="006051AC" w:rsidRPr="003D7EB8">
        <w:rPr>
          <w:rFonts w:eastAsia="Times New Roman" w:cs="Arial"/>
          <w:color w:val="000000"/>
          <w:szCs w:val="20"/>
        </w:rPr>
        <w:t xml:space="preserve"> . . . </w:t>
      </w:r>
      <w:r w:rsidRPr="003D7EB8">
        <w:rPr>
          <w:rFonts w:eastAsia="Times New Roman" w:cs="Arial"/>
          <w:color w:val="000000"/>
          <w:szCs w:val="20"/>
        </w:rPr>
        <w:t xml:space="preserve">[T]he </w:t>
      </w:r>
      <w:r w:rsidR="00120FE6" w:rsidRPr="003D7EB8">
        <w:rPr>
          <w:rFonts w:eastAsia="Times New Roman" w:cs="Arial"/>
          <w:color w:val="000000"/>
          <w:szCs w:val="20"/>
        </w:rPr>
        <w:t>[Individuals</w:t>
      </w:r>
      <w:r w:rsidR="00120FE6">
        <w:rPr>
          <w:rFonts w:eastAsia="Times New Roman" w:cs="Arial"/>
          <w:color w:val="000000"/>
          <w:szCs w:val="20"/>
        </w:rPr>
        <w:t xml:space="preserve"> with Disabilities Education Act] </w:t>
      </w:r>
      <w:r w:rsidRPr="00E328C5">
        <w:rPr>
          <w:rFonts w:eastAsia="Times New Roman" w:cs="Arial"/>
          <w:color w:val="000000"/>
          <w:szCs w:val="20"/>
        </w:rPr>
        <w:t xml:space="preserve">IDEA does not provide a mechanism for parents to resolve disputes with one another; such disputes must be settled privately or through whatever State law processes exist.”  </w:t>
      </w:r>
      <w:hyperlink r:id="rId13" w:history="1">
        <w:r w:rsidRPr="005F40B0">
          <w:rPr>
            <w:rFonts w:eastAsia="Times New Roman" w:cs="Arial"/>
            <w:i/>
            <w:color w:val="0000FF"/>
            <w:szCs w:val="20"/>
            <w:u w:val="single"/>
          </w:rPr>
          <w:t>OSEP Letter to Cox (August 21, 2009)</w:t>
        </w:r>
      </w:hyperlink>
      <w:r w:rsidRPr="0099237D">
        <w:rPr>
          <w:rFonts w:eastAsia="Times New Roman" w:cs="Arial"/>
          <w:color w:val="auto"/>
          <w:szCs w:val="20"/>
        </w:rPr>
        <w:t>.</w:t>
      </w:r>
    </w:p>
    <w:p w14:paraId="76C6FEDB" w14:textId="77777777" w:rsidR="00E328C5" w:rsidRPr="00E328C5" w:rsidRDefault="00E328C5" w:rsidP="00E328C5">
      <w:pPr>
        <w:spacing w:after="0" w:line="240" w:lineRule="auto"/>
        <w:jc w:val="both"/>
        <w:rPr>
          <w:rFonts w:eastAsia="Times New Roman" w:cs="Arial"/>
          <w:color w:val="000000"/>
          <w:szCs w:val="20"/>
        </w:rPr>
      </w:pPr>
    </w:p>
    <w:p w14:paraId="4B2C210D" w14:textId="77777777" w:rsidR="00E328C5" w:rsidRDefault="00E328C5" w:rsidP="00E328C5">
      <w:pPr>
        <w:spacing w:after="0" w:line="240" w:lineRule="auto"/>
        <w:jc w:val="both"/>
        <w:rPr>
          <w:rFonts w:eastAsia="Times New Roman" w:cs="Arial"/>
          <w:color w:val="000000"/>
          <w:szCs w:val="20"/>
        </w:rPr>
      </w:pPr>
      <w:r w:rsidRPr="00E328C5">
        <w:rPr>
          <w:rFonts w:eastAsia="Times New Roman" w:cs="Arial"/>
          <w:color w:val="000000"/>
          <w:szCs w:val="20"/>
        </w:rPr>
        <w:t>“If a student has been assigned a surrogate parent, the due process rights that are available to parents are afforded to the surrogate parent, and the prior written notice and procedural safeguards notice must be provided to the surrogate parent (34 CFR 300.519(g)). Similarly, the surrogate parent may utilize mediation or exercise due process rights on behalf of the student or themselves.”</w:t>
      </w:r>
      <w:r>
        <w:rPr>
          <w:rFonts w:eastAsia="Times New Roman" w:cs="Arial"/>
          <w:color w:val="000000"/>
          <w:szCs w:val="20"/>
        </w:rPr>
        <w:t xml:space="preserve"> </w:t>
      </w:r>
      <w:r w:rsidRPr="00E328C5">
        <w:rPr>
          <w:rFonts w:eastAsia="Times New Roman" w:cs="Arial"/>
          <w:color w:val="000000"/>
          <w:szCs w:val="20"/>
        </w:rPr>
        <w:t xml:space="preserve"> </w:t>
      </w:r>
      <w:hyperlink r:id="rId14" w:tgtFrame="_blank" w:history="1">
        <w:r w:rsidRPr="005F40B0">
          <w:rPr>
            <w:rFonts w:eastAsia="Times New Roman" w:cs="Arial"/>
            <w:i/>
            <w:color w:val="0000FF"/>
            <w:szCs w:val="20"/>
            <w:u w:val="single"/>
          </w:rPr>
          <w:t>OSERS Dear Colleague Letter</w:t>
        </w:r>
        <w:r w:rsidRPr="00E328C5">
          <w:rPr>
            <w:rFonts w:eastAsia="Times New Roman" w:cs="Arial"/>
            <w:color w:val="0000FF"/>
            <w:szCs w:val="20"/>
            <w:u w:val="single"/>
          </w:rPr>
          <w:t xml:space="preserve"> (December 5, 2014)</w:t>
        </w:r>
      </w:hyperlink>
      <w:r w:rsidRPr="00E328C5">
        <w:rPr>
          <w:rFonts w:eastAsia="Times New Roman" w:cs="Arial"/>
          <w:color w:val="000000"/>
          <w:szCs w:val="20"/>
        </w:rPr>
        <w:t>.</w:t>
      </w:r>
    </w:p>
    <w:p w14:paraId="76FCD58C" w14:textId="77777777" w:rsidR="00E328C5" w:rsidRPr="00E328C5" w:rsidRDefault="00E328C5" w:rsidP="00E328C5">
      <w:pPr>
        <w:spacing w:after="0" w:line="240" w:lineRule="auto"/>
        <w:jc w:val="both"/>
        <w:rPr>
          <w:rFonts w:eastAsia="Times New Roman" w:cs="Arial"/>
          <w:color w:val="000000"/>
          <w:szCs w:val="20"/>
        </w:rPr>
      </w:pPr>
    </w:p>
    <w:p w14:paraId="5C99564A" w14:textId="77777777" w:rsidR="00E328C5" w:rsidRDefault="00E328C5" w:rsidP="00E328C5">
      <w:pPr>
        <w:spacing w:after="0" w:line="240" w:lineRule="auto"/>
        <w:jc w:val="both"/>
        <w:rPr>
          <w:rFonts w:eastAsia="Times New Roman" w:cs="Times New Roman"/>
          <w:color w:val="auto"/>
          <w:szCs w:val="20"/>
        </w:rPr>
      </w:pPr>
      <w:r w:rsidRPr="00E328C5">
        <w:rPr>
          <w:rFonts w:eastAsia="Times New Roman" w:cs="Arial"/>
          <w:color w:val="auto"/>
          <w:szCs w:val="20"/>
        </w:rPr>
        <w:t>“The McKinney-Vento Act defines unaccompanied youth as youth who are not in the physical custody of a parent or guardian. 42 U.S.C. 11434(a)(6). If a child with a disability is an unaccompanied homeless youth under 34 CFR § 300.519(a)(4), the public agency must ensure that the youth's rights are protected through assignment of a surrogate parent, including a method for determining whether the child needs a surrogate parent and for assigning a surrogate parent to the child. 34 CFR § 300.519(a)(4) and (b). An individual appointed to act as a surrogate for the parent must meet all of the selection criteria in 34 CFR § 300.519(d). These criteria permit a surrogate to be appointed in any manner permitted under State law. 34 CFR § 300.519(d)(1). Under 34 CFR § 300.519(d)(2), the surrogate parent may not be an employee of the SEA, LEA, or any other agency that is involved in the education or care of the child, must have no personal or professional interest that conflicts with the interest of the child, and must have knowledge and skills that ensure adequate representation of the child. 34 CFR § 300.519(d)(2)(</w:t>
      </w:r>
      <w:proofErr w:type="spellStart"/>
      <w:r w:rsidRPr="00E328C5">
        <w:rPr>
          <w:rFonts w:eastAsia="Times New Roman" w:cs="Arial"/>
          <w:color w:val="auto"/>
          <w:szCs w:val="20"/>
        </w:rPr>
        <w:t>i</w:t>
      </w:r>
      <w:proofErr w:type="spellEnd"/>
      <w:r w:rsidRPr="00E328C5">
        <w:rPr>
          <w:rFonts w:eastAsia="Times New Roman" w:cs="Arial"/>
          <w:color w:val="auto"/>
          <w:szCs w:val="20"/>
        </w:rPr>
        <w:t>). However, under 34 CFR § 300.519(f), in the case of a child with a disability who is an unaccompanied homeless youth, appropriate staff of emergency shelters, transitional shelters, independent living programs and street outreach programs that are involved in the education or care of the child may be appointed as temporary surrogate parents without regard to the non-employee requirement in § 300.519(d)(2)(</w:t>
      </w:r>
      <w:proofErr w:type="spellStart"/>
      <w:r w:rsidRPr="00E328C5">
        <w:rPr>
          <w:rFonts w:eastAsia="Times New Roman" w:cs="Arial"/>
          <w:color w:val="auto"/>
          <w:szCs w:val="20"/>
        </w:rPr>
        <w:t>i</w:t>
      </w:r>
      <w:proofErr w:type="spellEnd"/>
      <w:r w:rsidRPr="00E328C5">
        <w:rPr>
          <w:rFonts w:eastAsia="Times New Roman" w:cs="Arial"/>
          <w:color w:val="auto"/>
          <w:szCs w:val="20"/>
        </w:rPr>
        <w:t xml:space="preserve">) until a surrogate parent can be appointed who is not an employee of an agency that is involved in the education or care of the child. Individuals appointed as temporary surrogate parents still must have no personal or professional interest that conflicts with the interests of the child and must have knowledge and skills adequate to represent the child. 34 CFR § 300.519(d)(2)(ii)-(iii). Surrogate parents, including temporary surrogate parents, are considered the unaccompanied homeless youth's parent for special educational purposes. Under 34 CFR § 300.519(g), surrogate parents may represent a child in all matters relating to: (1) the identification, evaluation, and educational placement of the child; and (2) the provision of FAPE to the child. Under 34 CFR § 300.519(h), the SEA must make reasonable efforts to ensure the assignment of a surrogate parent not more than 30 days after the public agency determines that the child needs a surrogate parent.”  </w:t>
      </w:r>
      <w:hyperlink r:id="rId15" w:history="1">
        <w:r w:rsidRPr="00E328C5">
          <w:rPr>
            <w:rFonts w:eastAsia="Times New Roman" w:cs="Times New Roman"/>
            <w:i/>
            <w:color w:val="0000FF"/>
            <w:szCs w:val="20"/>
            <w:u w:val="single"/>
          </w:rPr>
          <w:t xml:space="preserve">OSERS Questions and Answers on Special Education and Homelessness </w:t>
        </w:r>
        <w:r w:rsidRPr="005F40B0">
          <w:rPr>
            <w:rFonts w:eastAsia="Times New Roman" w:cs="Times New Roman"/>
            <w:color w:val="0000FF"/>
            <w:szCs w:val="20"/>
            <w:u w:val="single"/>
          </w:rPr>
          <w:t>(February 2008)</w:t>
        </w:r>
      </w:hyperlink>
      <w:r w:rsidRPr="0099237D">
        <w:rPr>
          <w:rFonts w:eastAsia="Times New Roman" w:cs="Times New Roman"/>
          <w:color w:val="auto"/>
          <w:szCs w:val="20"/>
        </w:rPr>
        <w:t>.</w:t>
      </w:r>
    </w:p>
    <w:p w14:paraId="01904D99" w14:textId="77777777" w:rsidR="00E328C5" w:rsidRPr="00E328C5" w:rsidRDefault="00E328C5" w:rsidP="00E328C5">
      <w:pPr>
        <w:spacing w:after="0" w:line="240" w:lineRule="auto"/>
        <w:jc w:val="both"/>
        <w:rPr>
          <w:rFonts w:eastAsia="Times New Roman" w:cs="Times New Roman"/>
          <w:color w:val="auto"/>
          <w:szCs w:val="20"/>
        </w:rPr>
      </w:pPr>
    </w:p>
    <w:p w14:paraId="17FD8B99" w14:textId="77777777" w:rsidR="00E328C5" w:rsidRDefault="00E328C5" w:rsidP="00E328C5">
      <w:pPr>
        <w:spacing w:after="0" w:line="240" w:lineRule="auto"/>
        <w:jc w:val="both"/>
        <w:rPr>
          <w:rFonts w:eastAsia="Times New Roman" w:cs="Arial"/>
          <w:color w:val="auto"/>
          <w:szCs w:val="20"/>
        </w:rPr>
      </w:pPr>
      <w:r w:rsidRPr="00E328C5">
        <w:rPr>
          <w:rFonts w:eastAsia="Times New Roman" w:cs="Arial"/>
          <w:color w:val="000000"/>
          <w:szCs w:val="20"/>
        </w:rPr>
        <w:t xml:space="preserve">“Both parents retain rights under Part B of IDEA unless State law or a court order provides otherwise. </w:t>
      </w:r>
      <w:r w:rsidRPr="00E328C5">
        <w:rPr>
          <w:rFonts w:eastAsia="Times New Roman" w:cs="Arial"/>
          <w:i/>
          <w:iCs/>
          <w:color w:val="000000"/>
          <w:szCs w:val="20"/>
        </w:rPr>
        <w:t>See</w:t>
      </w:r>
      <w:r w:rsidRPr="00E328C5">
        <w:rPr>
          <w:rFonts w:eastAsia="Times New Roman" w:cs="Arial"/>
          <w:color w:val="000000"/>
          <w:szCs w:val="20"/>
        </w:rPr>
        <w:t xml:space="preserve"> 34 CFR §§300.500-300.515; 300.530-300.536; and 300.340-300.350. This means that both parents have the right to attend their child's IEP meeting, unless State law or a court order provides otherwise. You have described a situation where a temporary </w:t>
      </w:r>
      <w:r w:rsidRPr="00E328C5">
        <w:rPr>
          <w:rFonts w:eastAsia="Times New Roman" w:cs="Arial"/>
          <w:color w:val="000000"/>
          <w:szCs w:val="20"/>
        </w:rPr>
        <w:lastRenderedPageBreak/>
        <w:t xml:space="preserve">protective order restricts the father's ability to have contact with the mother. It is not clear from your inquiry what effect the protective order may have on the father's continued ability to make educational decisions on his child's behalf or whether the protective order limits the ability of the father or his representatives to have contact with the mother in this </w:t>
      </w:r>
      <w:r w:rsidRPr="003D7EB8">
        <w:rPr>
          <w:rFonts w:eastAsia="Times New Roman" w:cs="Arial"/>
          <w:color w:val="000000"/>
          <w:szCs w:val="20"/>
        </w:rPr>
        <w:t>context</w:t>
      </w:r>
      <w:r w:rsidR="003D7EB8" w:rsidRPr="003D7EB8">
        <w:rPr>
          <w:rFonts w:eastAsia="Times New Roman" w:cs="Arial"/>
          <w:color w:val="000000"/>
          <w:szCs w:val="20"/>
        </w:rPr>
        <w:t>. . . .</w:t>
      </w:r>
      <w:r w:rsidR="003D7EB8" w:rsidRPr="003D7EB8">
        <w:t> </w:t>
      </w:r>
      <w:r w:rsidRPr="003D7EB8">
        <w:rPr>
          <w:rFonts w:eastAsia="Times New Roman" w:cs="Arial"/>
          <w:color w:val="000000"/>
          <w:szCs w:val="20"/>
        </w:rPr>
        <w:t>Part B does</w:t>
      </w:r>
      <w:r w:rsidRPr="00E328C5">
        <w:rPr>
          <w:rFonts w:eastAsia="Times New Roman" w:cs="Arial"/>
          <w:color w:val="000000"/>
          <w:szCs w:val="20"/>
        </w:rPr>
        <w:t xml:space="preserve"> not govern the interpretation of the </w:t>
      </w:r>
      <w:r w:rsidRPr="003D7EB8">
        <w:rPr>
          <w:rFonts w:eastAsia="Times New Roman" w:cs="Arial"/>
          <w:color w:val="000000"/>
          <w:szCs w:val="20"/>
        </w:rPr>
        <w:t>protective order</w:t>
      </w:r>
      <w:r w:rsidR="006051AC" w:rsidRPr="003D7EB8">
        <w:rPr>
          <w:rFonts w:eastAsia="Times New Roman" w:cs="Arial"/>
          <w:color w:val="000000"/>
          <w:szCs w:val="20"/>
        </w:rPr>
        <w:t xml:space="preserve"> . . .</w:t>
      </w:r>
      <w:r w:rsidRPr="003D7EB8">
        <w:rPr>
          <w:rFonts w:eastAsia="Times New Roman" w:cs="Arial"/>
          <w:color w:val="000000"/>
          <w:szCs w:val="20"/>
        </w:rPr>
        <w:t xml:space="preserve">”  </w:t>
      </w:r>
      <w:hyperlink r:id="rId16" w:history="1">
        <w:r w:rsidRPr="003D7EB8">
          <w:rPr>
            <w:rFonts w:eastAsia="Times New Roman" w:cs="Arial"/>
            <w:i/>
            <w:color w:val="0000FF"/>
            <w:szCs w:val="20"/>
            <w:u w:val="single"/>
          </w:rPr>
          <w:t xml:space="preserve">OSEP Letter to </w:t>
        </w:r>
        <w:proofErr w:type="spellStart"/>
        <w:r w:rsidRPr="003D7EB8">
          <w:rPr>
            <w:rFonts w:eastAsia="Times New Roman" w:cs="Arial"/>
            <w:i/>
            <w:color w:val="0000FF"/>
            <w:szCs w:val="20"/>
            <w:u w:val="single"/>
          </w:rPr>
          <w:t>Serwecki</w:t>
        </w:r>
        <w:proofErr w:type="spellEnd"/>
        <w:r w:rsidRPr="003D7EB8">
          <w:rPr>
            <w:rFonts w:eastAsia="Times New Roman" w:cs="Arial"/>
            <w:i/>
            <w:color w:val="0000FF"/>
            <w:szCs w:val="20"/>
            <w:u w:val="single"/>
          </w:rPr>
          <w:t xml:space="preserve"> </w:t>
        </w:r>
        <w:r w:rsidRPr="003D7EB8">
          <w:rPr>
            <w:rFonts w:eastAsia="Times New Roman" w:cs="Arial"/>
            <w:color w:val="0000FF"/>
            <w:szCs w:val="20"/>
            <w:u w:val="single"/>
          </w:rPr>
          <w:t>(February 28, 2005)</w:t>
        </w:r>
      </w:hyperlink>
      <w:r w:rsidRPr="0099237D">
        <w:rPr>
          <w:rFonts w:eastAsia="Times New Roman" w:cs="Arial"/>
          <w:color w:val="auto"/>
          <w:szCs w:val="20"/>
        </w:rPr>
        <w:t>.</w:t>
      </w:r>
    </w:p>
    <w:p w14:paraId="74E13C14" w14:textId="77777777" w:rsidR="00D51F45" w:rsidRDefault="00D51F45" w:rsidP="00E328C5">
      <w:pPr>
        <w:spacing w:after="0" w:line="240" w:lineRule="auto"/>
        <w:jc w:val="both"/>
        <w:rPr>
          <w:rFonts w:eastAsia="Times New Roman" w:cs="Arial"/>
          <w:color w:val="000000"/>
          <w:szCs w:val="20"/>
        </w:rPr>
      </w:pPr>
    </w:p>
    <w:p w14:paraId="7FCACC40" w14:textId="77777777" w:rsidR="00D51F45" w:rsidRPr="003C18FB" w:rsidRDefault="00D51F45" w:rsidP="00E328C5">
      <w:pPr>
        <w:spacing w:after="0" w:line="240" w:lineRule="auto"/>
        <w:jc w:val="both"/>
        <w:rPr>
          <w:rFonts w:eastAsia="Times New Roman" w:cs="Arial"/>
          <w:b/>
          <w:color w:val="000000"/>
          <w:szCs w:val="20"/>
          <w:u w:val="single"/>
        </w:rPr>
      </w:pPr>
      <w:r w:rsidRPr="003C18FB">
        <w:rPr>
          <w:rFonts w:eastAsia="Times New Roman" w:cs="Arial"/>
          <w:b/>
          <w:color w:val="000000"/>
          <w:szCs w:val="20"/>
          <w:u w:val="single"/>
        </w:rPr>
        <w:t>Application Guidance</w:t>
      </w:r>
    </w:p>
    <w:p w14:paraId="220ABAF3" w14:textId="77777777" w:rsidR="00E328C5" w:rsidRDefault="00E328C5" w:rsidP="00E328C5">
      <w:pPr>
        <w:spacing w:after="0" w:line="240" w:lineRule="auto"/>
        <w:jc w:val="both"/>
        <w:rPr>
          <w:rFonts w:eastAsia="Times New Roman" w:cs="Arial"/>
          <w:color w:val="000000"/>
          <w:szCs w:val="20"/>
        </w:rPr>
      </w:pPr>
    </w:p>
    <w:p w14:paraId="10B2ADF5" w14:textId="3D2C695A" w:rsidR="00D51F45" w:rsidRPr="00097652" w:rsidRDefault="004B095D" w:rsidP="00097652">
      <w:pPr>
        <w:pStyle w:val="ListParagraph"/>
        <w:numPr>
          <w:ilvl w:val="0"/>
          <w:numId w:val="20"/>
        </w:numPr>
        <w:spacing w:after="0" w:line="240" w:lineRule="auto"/>
        <w:jc w:val="both"/>
        <w:rPr>
          <w:rFonts w:eastAsia="Times New Roman" w:cs="Arial"/>
          <w:color w:val="000000"/>
          <w:szCs w:val="20"/>
        </w:rPr>
      </w:pPr>
      <w:hyperlink r:id="rId17" w:history="1">
        <w:r w:rsidR="00097652">
          <w:rPr>
            <w:rStyle w:val="Hyperlink"/>
          </w:rPr>
          <w:t>Foster Care &amp; Student Success</w:t>
        </w:r>
      </w:hyperlink>
      <w:r w:rsidR="00097652">
        <w:rPr>
          <w:rFonts w:eastAsia="Times New Roman" w:cs="Arial"/>
          <w:color w:val="000000"/>
          <w:szCs w:val="20"/>
        </w:rPr>
        <w:t xml:space="preserve"> (TEA)</w:t>
      </w:r>
    </w:p>
    <w:p w14:paraId="6D471B08" w14:textId="77777777" w:rsidR="00D51F45" w:rsidRPr="003C18FB" w:rsidRDefault="00D51F45" w:rsidP="003C18FB">
      <w:pPr>
        <w:pStyle w:val="ListParagraph"/>
        <w:spacing w:after="0" w:line="240" w:lineRule="auto"/>
        <w:jc w:val="both"/>
        <w:rPr>
          <w:rFonts w:eastAsia="Times New Roman" w:cs="Times New Roman"/>
          <w:color w:val="auto"/>
          <w:szCs w:val="20"/>
        </w:rPr>
      </w:pPr>
    </w:p>
    <w:p w14:paraId="5BE4ED80" w14:textId="77777777" w:rsidR="00D51F45" w:rsidRDefault="00D51F45" w:rsidP="00E328C5">
      <w:pPr>
        <w:spacing w:after="0" w:line="240" w:lineRule="auto"/>
        <w:jc w:val="both"/>
        <w:rPr>
          <w:rFonts w:eastAsia="Times New Roman" w:cs="Times New Roman"/>
          <w:color w:val="auto"/>
          <w:szCs w:val="20"/>
        </w:rPr>
      </w:pPr>
    </w:p>
    <w:p w14:paraId="78784168" w14:textId="7FDF8B05" w:rsidR="00E328C5" w:rsidRPr="00E328C5" w:rsidRDefault="00E328C5" w:rsidP="00E328C5">
      <w:pPr>
        <w:spacing w:after="0" w:line="240" w:lineRule="auto"/>
        <w:jc w:val="both"/>
        <w:rPr>
          <w:rFonts w:eastAsia="Times New Roman" w:cs="Times New Roman"/>
          <w:color w:val="auto"/>
          <w:szCs w:val="20"/>
        </w:rPr>
      </w:pPr>
      <w:r w:rsidRPr="00E328C5">
        <w:rPr>
          <w:rFonts w:eastAsia="Times New Roman" w:cs="Times New Roman"/>
          <w:color w:val="auto"/>
          <w:szCs w:val="20"/>
        </w:rPr>
        <w:t xml:space="preserve">Through the implementation of the </w:t>
      </w:r>
      <w:r w:rsidR="005E3B61">
        <w:rPr>
          <w:rFonts w:eastAsia="Times New Roman" w:cs="Times New Roman"/>
          <w:color w:val="auto"/>
          <w:szCs w:val="20"/>
        </w:rPr>
        <w:t>member district</w:t>
      </w:r>
      <w:r w:rsidRPr="000E725C">
        <w:rPr>
          <w:rFonts w:eastAsia="Times New Roman" w:cs="Times New Roman"/>
          <w:color w:val="auto"/>
          <w:szCs w:val="20"/>
        </w:rPr>
        <w:t xml:space="preserve"> policies and procedures as outlined in the </w:t>
      </w:r>
      <w:hyperlink r:id="rId18" w:history="1">
        <w:r w:rsidR="00A57B2F" w:rsidRPr="000E725C">
          <w:rPr>
            <w:rStyle w:val="Hyperlink"/>
            <w:rFonts w:eastAsia="Times New Roman" w:cs="Times New Roman"/>
            <w:szCs w:val="20"/>
          </w:rPr>
          <w:t>Legal Framework</w:t>
        </w:r>
      </w:hyperlink>
      <w:r w:rsidRPr="000E725C">
        <w:rPr>
          <w:rFonts w:eastAsia="Times New Roman" w:cs="Times New Roman"/>
          <w:color w:val="auto"/>
          <w:szCs w:val="20"/>
        </w:rPr>
        <w:t xml:space="preserve"> for the Child-Centered Special Education Process, the </w:t>
      </w:r>
      <w:r w:rsidR="005E3B61">
        <w:rPr>
          <w:rFonts w:eastAsia="Times New Roman" w:cs="Times New Roman"/>
          <w:color w:val="auto"/>
          <w:szCs w:val="20"/>
        </w:rPr>
        <w:t>member district</w:t>
      </w:r>
      <w:r w:rsidRPr="000E725C">
        <w:rPr>
          <w:rFonts w:eastAsia="Times New Roman" w:cs="Times New Roman"/>
          <w:color w:val="auto"/>
          <w:szCs w:val="20"/>
        </w:rPr>
        <w:t xml:space="preserve"> ensures that parents are identified, appointed, and trained in conformance with the IDEA</w:t>
      </w:r>
      <w:r w:rsidRPr="00E328C5">
        <w:rPr>
          <w:rFonts w:eastAsia="Times New Roman" w:cs="Times New Roman"/>
          <w:color w:val="auto"/>
          <w:szCs w:val="20"/>
        </w:rPr>
        <w:t xml:space="preserve"> and its accompanying federal regulations, state statutes and regulations.  </w:t>
      </w:r>
    </w:p>
    <w:p w14:paraId="387220ED" w14:textId="77777777" w:rsidR="00E21132" w:rsidRPr="002045E8" w:rsidRDefault="00E21132" w:rsidP="006E3F0A">
      <w:pPr>
        <w:spacing w:after="0" w:line="240" w:lineRule="auto"/>
        <w:jc w:val="both"/>
        <w:rPr>
          <w:rFonts w:eastAsia="Times New Roman" w:cs="Times New Roman"/>
          <w:color w:val="auto"/>
          <w:szCs w:val="20"/>
        </w:rPr>
      </w:pPr>
    </w:p>
    <w:p w14:paraId="0D65FE8A" w14:textId="77777777" w:rsidR="00DB231F" w:rsidRDefault="004B095D" w:rsidP="009415A3">
      <w:pPr>
        <w:spacing w:after="0" w:line="240" w:lineRule="auto"/>
        <w:rPr>
          <w:szCs w:val="20"/>
        </w:rPr>
      </w:pPr>
      <w:r>
        <w:rPr>
          <w:szCs w:val="20"/>
        </w:rPr>
        <w:pict w14:anchorId="50845F27">
          <v:rect id="_x0000_i1025" style="width:468pt;height:3pt" o:hralign="center" o:hrstd="t" o:hrnoshade="t" o:hr="t" fillcolor="#0f3966 [3204]" stroked="f"/>
        </w:pict>
      </w:r>
    </w:p>
    <w:p w14:paraId="162C722F" w14:textId="67166014" w:rsidR="00BD533D" w:rsidRPr="00FA3A76" w:rsidRDefault="00BD533D" w:rsidP="00BD533D">
      <w:pPr>
        <w:pStyle w:val="Heading4"/>
        <w:shd w:val="clear" w:color="auto" w:fill="FFFFFF"/>
        <w:spacing w:before="0" w:line="240" w:lineRule="auto"/>
        <w:rPr>
          <w:rFonts w:ascii="Verdana" w:hAnsi="Verdana" w:cs="Calibri"/>
          <w:i w:val="0"/>
          <w:color w:val="000000"/>
          <w:szCs w:val="20"/>
          <w:u w:val="single"/>
        </w:rPr>
      </w:pPr>
      <w:r w:rsidRPr="00FA3A76">
        <w:rPr>
          <w:rFonts w:ascii="Verdana" w:hAnsi="Verdana" w:cs="Calibri"/>
          <w:i w:val="0"/>
          <w:color w:val="000000"/>
          <w:szCs w:val="20"/>
          <w:u w:val="single"/>
        </w:rPr>
        <w:t xml:space="preserve">Identification of Parent </w:t>
      </w:r>
    </w:p>
    <w:p w14:paraId="51FE4BCD" w14:textId="77777777" w:rsidR="00BD533D" w:rsidRPr="00FA3A76" w:rsidRDefault="00BD533D" w:rsidP="00BD533D">
      <w:pPr>
        <w:spacing w:after="0" w:line="240" w:lineRule="auto"/>
        <w:rPr>
          <w:rFonts w:cs="Calibri"/>
          <w:color w:val="auto"/>
          <w:szCs w:val="20"/>
        </w:rPr>
      </w:pPr>
      <w:r w:rsidRPr="00FA3A76">
        <w:rPr>
          <w:rFonts w:cs="Calibri"/>
          <w:color w:val="auto"/>
          <w:szCs w:val="20"/>
        </w:rPr>
        <w:t xml:space="preserve">Parents and/or guardians take an active role in all ARD meetings and are a valuable part of the ARD committee. Parents are involved in the discussion of the identification, evaluation, IEP development, and educational placement of their children. </w:t>
      </w:r>
    </w:p>
    <w:p w14:paraId="071EDF07" w14:textId="77777777" w:rsidR="00BD533D" w:rsidRPr="00FA3A76" w:rsidRDefault="00BD533D" w:rsidP="00BD533D">
      <w:pPr>
        <w:spacing w:after="0" w:line="240" w:lineRule="auto"/>
        <w:rPr>
          <w:rFonts w:cs="Calibri"/>
          <w:color w:val="auto"/>
          <w:szCs w:val="20"/>
        </w:rPr>
      </w:pPr>
      <w:r w:rsidRPr="00FA3A76">
        <w:rPr>
          <w:rFonts w:cs="Calibri"/>
          <w:color w:val="auto"/>
          <w:szCs w:val="20"/>
        </w:rPr>
        <w:t xml:space="preserve">Parent means: </w:t>
      </w:r>
    </w:p>
    <w:p w14:paraId="3D3B5F2D" w14:textId="77777777" w:rsidR="00BD533D" w:rsidRPr="00FA3A76" w:rsidRDefault="00BD533D" w:rsidP="00BD533D">
      <w:pPr>
        <w:spacing w:after="0" w:line="240" w:lineRule="auto"/>
        <w:rPr>
          <w:rFonts w:cs="Calibri"/>
          <w:color w:val="auto"/>
          <w:szCs w:val="20"/>
        </w:rPr>
      </w:pPr>
      <w:r w:rsidRPr="00FA3A76">
        <w:rPr>
          <w:rFonts w:cs="Calibri"/>
          <w:color w:val="auto"/>
          <w:szCs w:val="20"/>
        </w:rPr>
        <w:sym w:font="Symbol" w:char="F0B7"/>
      </w:r>
      <w:r w:rsidRPr="00FA3A76">
        <w:rPr>
          <w:rFonts w:cs="Calibri"/>
          <w:color w:val="auto"/>
          <w:szCs w:val="20"/>
        </w:rPr>
        <w:t xml:space="preserve"> A biological or adoptive parent of the child; </w:t>
      </w:r>
    </w:p>
    <w:p w14:paraId="5B80C7BE" w14:textId="77777777" w:rsidR="00FA3A76" w:rsidRDefault="00BD533D" w:rsidP="00BD533D">
      <w:pPr>
        <w:spacing w:after="0" w:line="240" w:lineRule="auto"/>
        <w:rPr>
          <w:rFonts w:cs="Calibri"/>
          <w:color w:val="auto"/>
          <w:szCs w:val="20"/>
        </w:rPr>
      </w:pPr>
      <w:r w:rsidRPr="00FA3A76">
        <w:rPr>
          <w:rFonts w:cs="Calibri"/>
          <w:color w:val="auto"/>
          <w:szCs w:val="20"/>
        </w:rPr>
        <w:sym w:font="Symbol" w:char="F0B7"/>
      </w:r>
      <w:r w:rsidRPr="00FA3A76">
        <w:rPr>
          <w:rFonts w:cs="Calibri"/>
          <w:color w:val="auto"/>
          <w:szCs w:val="20"/>
        </w:rPr>
        <w:t xml:space="preserve"> A foster parent of the child who meets the requirements for a foster parent to act as a parent</w:t>
      </w:r>
    </w:p>
    <w:p w14:paraId="24F8814D" w14:textId="767BAF8B" w:rsidR="00BD533D" w:rsidRPr="00FA3A76" w:rsidRDefault="00BD533D" w:rsidP="00BD533D">
      <w:pPr>
        <w:spacing w:after="0" w:line="240" w:lineRule="auto"/>
        <w:rPr>
          <w:rFonts w:cs="Calibri"/>
          <w:color w:val="auto"/>
          <w:szCs w:val="20"/>
        </w:rPr>
      </w:pPr>
      <w:r w:rsidRPr="00FA3A76">
        <w:rPr>
          <w:rFonts w:cs="Calibri"/>
          <w:color w:val="auto"/>
          <w:szCs w:val="20"/>
        </w:rPr>
        <w:sym w:font="Symbol" w:char="F0B7"/>
      </w:r>
      <w:r w:rsidRPr="00FA3A76">
        <w:rPr>
          <w:rFonts w:cs="Calibri"/>
          <w:color w:val="auto"/>
          <w:szCs w:val="20"/>
        </w:rPr>
        <w:t xml:space="preserve"> A guardian, but not the state, if the child is a ward of the state; </w:t>
      </w:r>
    </w:p>
    <w:p w14:paraId="4976FDE6" w14:textId="77777777" w:rsidR="00BD533D" w:rsidRPr="00FA3A76" w:rsidRDefault="00BD533D" w:rsidP="00BD533D">
      <w:pPr>
        <w:spacing w:after="0" w:line="240" w:lineRule="auto"/>
        <w:rPr>
          <w:rFonts w:cs="Calibri"/>
          <w:color w:val="auto"/>
          <w:szCs w:val="20"/>
        </w:rPr>
      </w:pPr>
      <w:r w:rsidRPr="00FA3A76">
        <w:rPr>
          <w:rFonts w:cs="Calibri"/>
          <w:color w:val="auto"/>
          <w:szCs w:val="20"/>
        </w:rPr>
        <w:sym w:font="Symbol" w:char="F0B7"/>
      </w:r>
      <w:r w:rsidRPr="00FA3A76">
        <w:rPr>
          <w:rFonts w:cs="Calibri"/>
          <w:color w:val="auto"/>
          <w:szCs w:val="20"/>
        </w:rPr>
        <w:t xml:space="preserve"> An individual acting in the place of a biological or adoptive parent, including a grandparent, stepparent, or other relative, with whom the child lives, or an individual who is legally responsible for the child's welfare; or </w:t>
      </w:r>
    </w:p>
    <w:p w14:paraId="6070D44D" w14:textId="6C851B58" w:rsidR="00BD533D" w:rsidRPr="00FA3A76" w:rsidRDefault="00BD533D" w:rsidP="00BD533D">
      <w:pPr>
        <w:spacing w:after="0" w:line="240" w:lineRule="auto"/>
        <w:rPr>
          <w:rFonts w:cs="Calibri"/>
          <w:color w:val="auto"/>
          <w:szCs w:val="20"/>
        </w:rPr>
      </w:pPr>
      <w:r w:rsidRPr="00FA3A76">
        <w:rPr>
          <w:rFonts w:cs="Calibri"/>
          <w:color w:val="auto"/>
          <w:szCs w:val="20"/>
        </w:rPr>
        <w:sym w:font="Symbol" w:char="F0B7"/>
      </w:r>
      <w:r w:rsidRPr="00FA3A76">
        <w:rPr>
          <w:rFonts w:cs="Calibri"/>
          <w:color w:val="auto"/>
          <w:szCs w:val="20"/>
        </w:rPr>
        <w:t xml:space="preserve"> An individual assigned to be a surrogate parent.</w:t>
      </w:r>
    </w:p>
    <w:p w14:paraId="27EE5A0C" w14:textId="07EC7AB7" w:rsidR="003868F3" w:rsidRPr="00FA3A76" w:rsidRDefault="003868F3" w:rsidP="00BD533D">
      <w:pPr>
        <w:pStyle w:val="Heading4"/>
        <w:shd w:val="clear" w:color="auto" w:fill="FFFFFF"/>
        <w:spacing w:before="0" w:line="360" w:lineRule="atLeast"/>
        <w:rPr>
          <w:rFonts w:ascii="Verdana" w:hAnsi="Verdana" w:cs="Calibri"/>
          <w:i w:val="0"/>
          <w:color w:val="auto"/>
          <w:szCs w:val="20"/>
          <w:u w:val="single"/>
        </w:rPr>
      </w:pPr>
      <w:r w:rsidRPr="00FA3A76">
        <w:rPr>
          <w:rFonts w:ascii="Verdana" w:hAnsi="Verdana" w:cs="Calibri"/>
          <w:i w:val="0"/>
          <w:color w:val="auto"/>
          <w:szCs w:val="20"/>
          <w:u w:val="single"/>
        </w:rPr>
        <w:t>SURROGATE / FOSTER PARENT</w:t>
      </w:r>
    </w:p>
    <w:p w14:paraId="2B32A22D" w14:textId="47764D40" w:rsidR="00850B01" w:rsidRPr="00FA3A76" w:rsidRDefault="003868F3" w:rsidP="00850B01">
      <w:pPr>
        <w:spacing w:after="0" w:line="240" w:lineRule="auto"/>
        <w:rPr>
          <w:rFonts w:cs="Calibri"/>
          <w:iCs/>
          <w:color w:val="auto"/>
          <w:szCs w:val="20"/>
          <w:shd w:val="clear" w:color="auto" w:fill="FFFFFF"/>
        </w:rPr>
      </w:pPr>
      <w:r w:rsidRPr="00FA3A76">
        <w:rPr>
          <w:rFonts w:cs="Calibri"/>
          <w:iCs/>
          <w:color w:val="auto"/>
          <w:szCs w:val="20"/>
          <w:shd w:val="clear" w:color="auto" w:fill="FFFFFF"/>
        </w:rPr>
        <w:t>It will be up to the discretion of the Special Education Director if compensation should be made to any person acting as a surrogate.</w:t>
      </w:r>
    </w:p>
    <w:p w14:paraId="4B407EF4" w14:textId="1EF1A543" w:rsidR="003868F3" w:rsidRPr="00FA3A76" w:rsidRDefault="003868F3" w:rsidP="00850B01">
      <w:pPr>
        <w:spacing w:after="0" w:line="240" w:lineRule="auto"/>
        <w:rPr>
          <w:rFonts w:cs="Calibri"/>
          <w:bCs/>
          <w:color w:val="auto"/>
          <w:szCs w:val="20"/>
          <w:u w:val="single"/>
          <w:shd w:val="clear" w:color="auto" w:fill="FFFFFF"/>
        </w:rPr>
      </w:pPr>
      <w:r w:rsidRPr="00FA3A76">
        <w:rPr>
          <w:rFonts w:cs="Calibri"/>
          <w:bCs/>
          <w:color w:val="auto"/>
          <w:szCs w:val="20"/>
          <w:u w:val="single"/>
          <w:shd w:val="clear" w:color="auto" w:fill="FFFFFF"/>
        </w:rPr>
        <w:t>Requirements of Surrogate</w:t>
      </w:r>
    </w:p>
    <w:p w14:paraId="508DDC05" w14:textId="77777777" w:rsidR="003868F3" w:rsidRPr="00FA3A76" w:rsidRDefault="003868F3" w:rsidP="003868F3">
      <w:pPr>
        <w:pStyle w:val="NormalWeb"/>
        <w:shd w:val="clear" w:color="auto" w:fill="FFFFFF"/>
        <w:spacing w:before="0" w:beforeAutospacing="0" w:after="0" w:afterAutospacing="0"/>
        <w:rPr>
          <w:rFonts w:ascii="Verdana" w:hAnsi="Verdana" w:cs="Calibri"/>
          <w:iCs/>
          <w:sz w:val="20"/>
          <w:szCs w:val="20"/>
        </w:rPr>
      </w:pPr>
      <w:r w:rsidRPr="00FA3A76">
        <w:rPr>
          <w:rFonts w:ascii="Verdana" w:hAnsi="Verdana" w:cs="Calibri"/>
          <w:bCs/>
          <w:iCs/>
          <w:sz w:val="20"/>
          <w:szCs w:val="20"/>
          <w:u w:val="single"/>
        </w:rPr>
        <w:t>Staff Training: Method to determine whether a child needs a surrogate parent.</w:t>
      </w:r>
    </w:p>
    <w:p w14:paraId="6D3E928B" w14:textId="77777777" w:rsidR="003868F3" w:rsidRPr="00FA3A76" w:rsidRDefault="003868F3" w:rsidP="003868F3">
      <w:pPr>
        <w:pStyle w:val="NormalWeb"/>
        <w:shd w:val="clear" w:color="auto" w:fill="FFFFFF"/>
        <w:spacing w:before="0" w:beforeAutospacing="0" w:after="0" w:afterAutospacing="0"/>
        <w:rPr>
          <w:rFonts w:ascii="Verdana" w:hAnsi="Verdana" w:cs="Calibri"/>
          <w:iCs/>
          <w:sz w:val="20"/>
          <w:szCs w:val="20"/>
        </w:rPr>
      </w:pPr>
      <w:r w:rsidRPr="00FA3A76">
        <w:rPr>
          <w:rFonts w:ascii="Verdana" w:hAnsi="Verdana" w:cs="Calibri"/>
          <w:iCs/>
          <w:sz w:val="20"/>
          <w:szCs w:val="20"/>
        </w:rPr>
        <w:t>Annually, the local campus principals, counselors and staff, along with the special education staff are trained on the situations in §300.519 in which a student would need a surrogate or the foster parent require training. The Special Education Director or designee will maintain the list and schedule training.</w:t>
      </w:r>
    </w:p>
    <w:p w14:paraId="5DF77743" w14:textId="77777777" w:rsidR="003868F3" w:rsidRPr="00FA3A76" w:rsidRDefault="003868F3" w:rsidP="003868F3">
      <w:pPr>
        <w:pStyle w:val="NormalWeb"/>
        <w:shd w:val="clear" w:color="auto" w:fill="FFFFFF"/>
        <w:spacing w:before="0" w:beforeAutospacing="0" w:after="0" w:afterAutospacing="0"/>
        <w:ind w:left="360" w:hanging="360"/>
        <w:rPr>
          <w:rFonts w:ascii="Verdana" w:hAnsi="Verdana" w:cs="Calibri"/>
          <w:iCs/>
          <w:sz w:val="20"/>
          <w:szCs w:val="20"/>
        </w:rPr>
      </w:pPr>
      <w:r w:rsidRPr="00FA3A76">
        <w:rPr>
          <w:rFonts w:ascii="Verdana" w:hAnsi="Verdana" w:cs="Calibri"/>
          <w:bCs/>
          <w:iCs/>
          <w:sz w:val="20"/>
          <w:szCs w:val="20"/>
          <w:u w:val="single"/>
        </w:rPr>
        <w:t>Assignment Guidelines</w:t>
      </w:r>
    </w:p>
    <w:p w14:paraId="79A723E5" w14:textId="77777777" w:rsidR="003868F3" w:rsidRPr="00FA3A76" w:rsidRDefault="003868F3" w:rsidP="003868F3">
      <w:pPr>
        <w:pStyle w:val="NormalWeb"/>
        <w:shd w:val="clear" w:color="auto" w:fill="FFFFFF"/>
        <w:spacing w:before="0" w:beforeAutospacing="0" w:after="0" w:afterAutospacing="0"/>
        <w:rPr>
          <w:rFonts w:ascii="Verdana" w:hAnsi="Verdana" w:cs="Calibri"/>
          <w:iCs/>
          <w:sz w:val="20"/>
          <w:szCs w:val="20"/>
        </w:rPr>
      </w:pPr>
      <w:r w:rsidRPr="00FA3A76">
        <w:rPr>
          <w:rFonts w:ascii="Verdana" w:hAnsi="Verdana" w:cs="Calibri"/>
          <w:iCs/>
          <w:sz w:val="20"/>
          <w:szCs w:val="20"/>
        </w:rPr>
        <w:t>The principal or other person makes the request for a surrogate parent for an eligible RCSS child. Procedures for requesting a surrogate parent are as follows:</w:t>
      </w:r>
    </w:p>
    <w:p w14:paraId="1C19113D" w14:textId="77777777" w:rsidR="003868F3" w:rsidRPr="00FA3A76" w:rsidRDefault="003868F3" w:rsidP="003868F3">
      <w:pPr>
        <w:pStyle w:val="NormalWeb"/>
        <w:numPr>
          <w:ilvl w:val="0"/>
          <w:numId w:val="21"/>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Principal or other assigned staff person notifies the Special Education Director of need and of potential surrogate parents if they are aware of any potential volunteers.</w:t>
      </w:r>
    </w:p>
    <w:p w14:paraId="08B70D2E" w14:textId="77777777" w:rsidR="003868F3" w:rsidRPr="00FA3A76" w:rsidRDefault="003868F3" w:rsidP="003868F3">
      <w:pPr>
        <w:pStyle w:val="NormalWeb"/>
        <w:numPr>
          <w:ilvl w:val="0"/>
          <w:numId w:val="21"/>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The Special Education Director schedules and conducts the training using application form to document assurances below.</w:t>
      </w:r>
    </w:p>
    <w:p w14:paraId="71816424" w14:textId="77777777" w:rsidR="003868F3" w:rsidRPr="00FA3A76" w:rsidRDefault="003868F3" w:rsidP="003868F3">
      <w:pPr>
        <w:pStyle w:val="NormalWeb"/>
        <w:numPr>
          <w:ilvl w:val="0"/>
          <w:numId w:val="21"/>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The Special Education Director notifies campus Administration of completed training and the names of new surrogate parents.</w:t>
      </w:r>
    </w:p>
    <w:p w14:paraId="0BEBAF65" w14:textId="77777777" w:rsidR="003868F3" w:rsidRPr="00FA3A76" w:rsidRDefault="003868F3" w:rsidP="003868F3">
      <w:pPr>
        <w:pStyle w:val="NormalWeb"/>
        <w:numPr>
          <w:ilvl w:val="0"/>
          <w:numId w:val="21"/>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lastRenderedPageBreak/>
        <w:t>The Special Education Director, Principal or designee notifies/contacts the student’s assigned surrogate parent when appropriate.</w:t>
      </w:r>
    </w:p>
    <w:p w14:paraId="6BB461F9" w14:textId="77777777" w:rsidR="003868F3" w:rsidRPr="00FA3A76" w:rsidRDefault="003868F3" w:rsidP="003868F3">
      <w:pPr>
        <w:pStyle w:val="NormalWeb"/>
        <w:shd w:val="clear" w:color="auto" w:fill="FFFFFF"/>
        <w:spacing w:before="0" w:beforeAutospacing="0" w:after="0" w:afterAutospacing="0"/>
        <w:rPr>
          <w:rFonts w:ascii="Verdana" w:hAnsi="Verdana" w:cs="Calibri"/>
          <w:iCs/>
          <w:sz w:val="20"/>
          <w:szCs w:val="20"/>
        </w:rPr>
      </w:pPr>
      <w:r w:rsidRPr="00FA3A76">
        <w:rPr>
          <w:rFonts w:ascii="Verdana" w:hAnsi="Verdana" w:cs="Calibri"/>
          <w:bCs/>
          <w:iCs/>
          <w:sz w:val="20"/>
          <w:szCs w:val="20"/>
          <w:u w:val="single"/>
        </w:rPr>
        <w:t>Assurances</w:t>
      </w:r>
    </w:p>
    <w:p w14:paraId="021F74B6" w14:textId="77777777" w:rsidR="003868F3" w:rsidRPr="00FA3A76" w:rsidRDefault="003868F3" w:rsidP="003868F3">
      <w:pPr>
        <w:pStyle w:val="NormalWeb"/>
        <w:shd w:val="clear" w:color="auto" w:fill="FFFFFF"/>
        <w:spacing w:before="0" w:beforeAutospacing="0" w:after="0" w:afterAutospacing="0"/>
        <w:rPr>
          <w:rFonts w:ascii="Verdana" w:hAnsi="Verdana" w:cs="Calibri"/>
          <w:iCs/>
          <w:sz w:val="20"/>
          <w:szCs w:val="20"/>
        </w:rPr>
      </w:pPr>
      <w:r w:rsidRPr="00FA3A76">
        <w:rPr>
          <w:rFonts w:ascii="Verdana" w:hAnsi="Verdana" w:cs="Calibri"/>
          <w:iCs/>
          <w:sz w:val="20"/>
          <w:szCs w:val="20"/>
        </w:rPr>
        <w:t>Assurances must be made by the individual selected to serve as a surrogate parent. These assurances are reviewed at the training and documented on the application form signed by the surrogate / foster parent.</w:t>
      </w:r>
    </w:p>
    <w:p w14:paraId="0BCD2949" w14:textId="77777777" w:rsidR="003868F3" w:rsidRPr="00FA3A76" w:rsidRDefault="003868F3" w:rsidP="003868F3">
      <w:pPr>
        <w:pStyle w:val="NormalWeb"/>
        <w:numPr>
          <w:ilvl w:val="0"/>
          <w:numId w:val="22"/>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The individual may have no personal or professional interest which conflicts with the interest of the child the surrogate parent represents;</w:t>
      </w:r>
    </w:p>
    <w:p w14:paraId="58B58DB8" w14:textId="77777777" w:rsidR="003868F3" w:rsidRPr="00FA3A76" w:rsidRDefault="003868F3" w:rsidP="003868F3">
      <w:pPr>
        <w:pStyle w:val="NormalWeb"/>
        <w:numPr>
          <w:ilvl w:val="0"/>
          <w:numId w:val="22"/>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The individual may not be an employee of the RCSS or of any other public agency responsible for or involved in the education or care of the child the surrogate parent represents;</w:t>
      </w:r>
    </w:p>
    <w:p w14:paraId="480A9F28" w14:textId="77777777" w:rsidR="003868F3" w:rsidRPr="00FA3A76" w:rsidRDefault="003868F3" w:rsidP="003868F3">
      <w:pPr>
        <w:pStyle w:val="NormalWeb"/>
        <w:numPr>
          <w:ilvl w:val="0"/>
          <w:numId w:val="22"/>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The individual must have knowledge and skills that insure adequate representation of the child;</w:t>
      </w:r>
    </w:p>
    <w:p w14:paraId="5A888B7C" w14:textId="77777777" w:rsidR="003868F3" w:rsidRPr="00FA3A76" w:rsidRDefault="003868F3" w:rsidP="003868F3">
      <w:pPr>
        <w:pStyle w:val="NormalWeb"/>
        <w:numPr>
          <w:ilvl w:val="0"/>
          <w:numId w:val="22"/>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The individual must be a resident of the member school district where the student attends, and</w:t>
      </w:r>
    </w:p>
    <w:p w14:paraId="04FF4F7B" w14:textId="77777777" w:rsidR="00BD533D" w:rsidRPr="00FA3A76" w:rsidRDefault="003868F3" w:rsidP="0047623D">
      <w:pPr>
        <w:pStyle w:val="NormalWeb"/>
        <w:numPr>
          <w:ilvl w:val="0"/>
          <w:numId w:val="22"/>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The RCSS may select as a surrogate a person who is an employee of a nonpublic agency that only provides non-educational care for the child and who meets the standards above.</w:t>
      </w:r>
    </w:p>
    <w:p w14:paraId="1C551179" w14:textId="5198D515" w:rsidR="003868F3" w:rsidRPr="00FA3A76" w:rsidRDefault="003868F3" w:rsidP="00BD533D">
      <w:pPr>
        <w:pStyle w:val="NormalWeb"/>
        <w:shd w:val="clear" w:color="auto" w:fill="FFFFFF"/>
        <w:spacing w:before="0" w:beforeAutospacing="0" w:after="0" w:afterAutospacing="0"/>
        <w:rPr>
          <w:rFonts w:ascii="Verdana" w:hAnsi="Verdana" w:cs="Calibri"/>
          <w:iCs/>
          <w:sz w:val="20"/>
          <w:szCs w:val="20"/>
        </w:rPr>
      </w:pPr>
      <w:r w:rsidRPr="00FA3A76">
        <w:rPr>
          <w:rFonts w:ascii="Verdana" w:hAnsi="Verdana" w:cs="Calibri"/>
          <w:iCs/>
          <w:sz w:val="20"/>
          <w:szCs w:val="20"/>
        </w:rPr>
        <w:t>*A foster parent in a home which is verified by the TDFPS or a child-placing agency shall not be deemed to have a financial conflict of interest by virtue of serving as the foster parent in that home. These homes include, but are not limited to, basic, habilitative, primary medical, or therapeutic foster or foster group homes. In addition, issues concerning quality of care of the child do not constitute a conflict of interest. Concerns regarding quality of care of the child should be communicated, and may be statutorily required to be reported, to TDFPS.</w:t>
      </w:r>
    </w:p>
    <w:p w14:paraId="44D027CA" w14:textId="77777777" w:rsidR="003868F3" w:rsidRPr="00FA3A76" w:rsidRDefault="003868F3" w:rsidP="003868F3">
      <w:pPr>
        <w:pStyle w:val="NormalWeb"/>
        <w:shd w:val="clear" w:color="auto" w:fill="FFFFFF"/>
        <w:spacing w:before="0" w:beforeAutospacing="0" w:after="0" w:afterAutospacing="0"/>
        <w:ind w:left="360" w:hanging="360"/>
        <w:rPr>
          <w:rFonts w:ascii="Verdana" w:hAnsi="Verdana" w:cs="Calibri"/>
          <w:iCs/>
          <w:sz w:val="20"/>
          <w:szCs w:val="20"/>
        </w:rPr>
      </w:pPr>
      <w:r w:rsidRPr="00FA3A76">
        <w:rPr>
          <w:rFonts w:ascii="Verdana" w:hAnsi="Verdana" w:cs="Calibri"/>
          <w:bCs/>
          <w:iCs/>
          <w:sz w:val="20"/>
          <w:szCs w:val="20"/>
          <w:u w:val="single"/>
        </w:rPr>
        <w:t>Documentation of Training for Volunteer as Surrogate Parent</w:t>
      </w:r>
    </w:p>
    <w:p w14:paraId="009343C8" w14:textId="77777777" w:rsidR="003868F3" w:rsidRPr="00FA3A76" w:rsidRDefault="003868F3" w:rsidP="003868F3">
      <w:pPr>
        <w:pStyle w:val="NormalWeb"/>
        <w:numPr>
          <w:ilvl w:val="0"/>
          <w:numId w:val="23"/>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(a.) The individual assigned to act as a surrogate parent must complete the training program within 90 calendar days after the effective date of initial assignment as a surrogate parent.</w:t>
      </w:r>
    </w:p>
    <w:p w14:paraId="2C9C0981" w14:textId="77777777" w:rsidR="003868F3" w:rsidRPr="00FA3A76" w:rsidRDefault="003868F3" w:rsidP="003868F3">
      <w:pPr>
        <w:pStyle w:val="NormalWeb"/>
        <w:numPr>
          <w:ilvl w:val="0"/>
          <w:numId w:val="23"/>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(b.) Once the individual has completed a training program conducted or provided by or through the Texas Department of Family and Protective Services (TDFPS), a school district, an education service center, or any entity that receives federal funds to provide IDEA training to parents, the individual shall not be required by any school to complete the additional training in order to continue serving as the student’s surrogate parent or to serve as the surrogate parent for other students with disabilities.</w:t>
      </w:r>
    </w:p>
    <w:p w14:paraId="79255607" w14:textId="77777777" w:rsidR="003868F3" w:rsidRPr="00FA3A76" w:rsidRDefault="003868F3" w:rsidP="003868F3">
      <w:pPr>
        <w:pStyle w:val="NormalWeb"/>
        <w:numPr>
          <w:ilvl w:val="0"/>
          <w:numId w:val="23"/>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(c.) The RCSS may provide additional training to surrogates parents and/or parents; however, RCSS cannot deny an individual who has received the training from serving as a surrogate parent on the grounds that the individual has not been trained.</w:t>
      </w:r>
    </w:p>
    <w:p w14:paraId="286250C7" w14:textId="77777777" w:rsidR="003868F3" w:rsidRPr="00FA3A76" w:rsidRDefault="003868F3" w:rsidP="003868F3">
      <w:pPr>
        <w:pStyle w:val="NormalWeb"/>
        <w:numPr>
          <w:ilvl w:val="0"/>
          <w:numId w:val="23"/>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(d.) Prior to assigning an individual to act as a surrogate parent, training should be provided.</w:t>
      </w:r>
    </w:p>
    <w:p w14:paraId="5EC1B8AF" w14:textId="77777777" w:rsidR="003868F3" w:rsidRPr="00FA3A76" w:rsidRDefault="003868F3" w:rsidP="003868F3">
      <w:pPr>
        <w:pStyle w:val="NormalWeb"/>
        <w:numPr>
          <w:ilvl w:val="0"/>
          <w:numId w:val="23"/>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(e.) Individuals already serving as surrogate parents identified as not receiving previous training will receive training within 90 calendar days of identification.</w:t>
      </w:r>
    </w:p>
    <w:p w14:paraId="48D6FBF9" w14:textId="77777777" w:rsidR="003868F3" w:rsidRPr="00FA3A76" w:rsidRDefault="003868F3" w:rsidP="003868F3">
      <w:pPr>
        <w:pStyle w:val="NormalWeb"/>
        <w:numPr>
          <w:ilvl w:val="0"/>
          <w:numId w:val="23"/>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(f.) The RCSS will keep records of those individuals who have received training and each person trained by our RCSS will be given a certificate to take should they move to another school and need evidence of training.</w:t>
      </w:r>
    </w:p>
    <w:p w14:paraId="1B400EF1" w14:textId="77777777" w:rsidR="003868F3" w:rsidRPr="00FA3A76" w:rsidRDefault="003868F3" w:rsidP="003868F3">
      <w:pPr>
        <w:pStyle w:val="NormalWeb"/>
        <w:shd w:val="clear" w:color="auto" w:fill="FFFFFF"/>
        <w:spacing w:before="0" w:beforeAutospacing="0" w:after="0" w:afterAutospacing="0"/>
        <w:ind w:left="360" w:hanging="360"/>
        <w:rPr>
          <w:rFonts w:ascii="Verdana" w:hAnsi="Verdana" w:cs="Calibri"/>
          <w:iCs/>
          <w:sz w:val="20"/>
          <w:szCs w:val="20"/>
        </w:rPr>
      </w:pPr>
      <w:r w:rsidRPr="00FA3A76">
        <w:rPr>
          <w:rFonts w:ascii="Verdana" w:hAnsi="Verdana" w:cs="Calibri"/>
          <w:bCs/>
          <w:iCs/>
          <w:sz w:val="20"/>
          <w:szCs w:val="20"/>
          <w:u w:val="single"/>
        </w:rPr>
        <w:t>Documentation of Training for Assignment of Foster Parents as Surrogate Parents</w:t>
      </w:r>
    </w:p>
    <w:p w14:paraId="0389E1A3" w14:textId="44E5F34C" w:rsidR="00DA3CC6" w:rsidRDefault="003868F3" w:rsidP="003868F3">
      <w:pPr>
        <w:pStyle w:val="NormalWeb"/>
        <w:numPr>
          <w:ilvl w:val="0"/>
          <w:numId w:val="24"/>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(a.) A foster parent may act as parent of a child with a disability, in accordance with §300.20 relating to the definition of parent, if he/she complies with the requirements of TEC §29.015(b), relating to foster parents, including the completion of the training programs described in this section.</w:t>
      </w:r>
    </w:p>
    <w:p w14:paraId="44B37AA2" w14:textId="34747264" w:rsidR="003868F3" w:rsidRPr="00DA3CC6" w:rsidRDefault="00DA3CC6" w:rsidP="00DA3CC6">
      <w:pPr>
        <w:tabs>
          <w:tab w:val="left" w:pos="2310"/>
        </w:tabs>
      </w:pPr>
      <w:r>
        <w:tab/>
      </w:r>
    </w:p>
    <w:p w14:paraId="5BA1D286" w14:textId="77777777" w:rsidR="003868F3" w:rsidRPr="00FA3A76" w:rsidRDefault="003868F3" w:rsidP="003868F3">
      <w:pPr>
        <w:pStyle w:val="NormalWeb"/>
        <w:numPr>
          <w:ilvl w:val="0"/>
          <w:numId w:val="24"/>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lastRenderedPageBreak/>
        <w:t>(b.) The foster parent must complete the training within 90 calendar days after the date of initial assignment as the surrogate parent, whichever comes later.</w:t>
      </w:r>
    </w:p>
    <w:p w14:paraId="6A16543D" w14:textId="77777777" w:rsidR="003868F3" w:rsidRPr="00FA3A76" w:rsidRDefault="003868F3" w:rsidP="003868F3">
      <w:pPr>
        <w:pStyle w:val="NormalWeb"/>
        <w:numPr>
          <w:ilvl w:val="0"/>
          <w:numId w:val="24"/>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(c.) Once the individual has completed a training program conducted or provided by or through the Texas Department of Family and Protective Services (TDFPS), a school district, an education service center, or any entity that receives federal funds to provide IDEA training to parents, the individual will not be required by any school to complete the additional training in order to continue serving as the student’s surrogate parent or to serve as the surrogate parent for other students with disabilities.</w:t>
      </w:r>
    </w:p>
    <w:p w14:paraId="75AAA822" w14:textId="77777777" w:rsidR="003868F3" w:rsidRPr="00FA3A76" w:rsidRDefault="003868F3" w:rsidP="003868F3">
      <w:pPr>
        <w:pStyle w:val="NormalWeb"/>
        <w:numPr>
          <w:ilvl w:val="0"/>
          <w:numId w:val="24"/>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(d.) The RCSS may provide additional training to surrogates parents and/or parents; however, RCSS cannot deny an individual who has received the training from serving as a surrogate parent on the grounds that the individual has not been trained.</w:t>
      </w:r>
    </w:p>
    <w:p w14:paraId="2F0129D9" w14:textId="77777777" w:rsidR="003868F3" w:rsidRPr="00FA3A76" w:rsidRDefault="003868F3" w:rsidP="003868F3">
      <w:pPr>
        <w:pStyle w:val="NormalWeb"/>
        <w:numPr>
          <w:ilvl w:val="0"/>
          <w:numId w:val="24"/>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(e.) Prior to assigning a foster parent to act as a surrogate parent, training should be provided.</w:t>
      </w:r>
    </w:p>
    <w:p w14:paraId="5AAF294C" w14:textId="77777777" w:rsidR="003868F3" w:rsidRPr="00FA3A76" w:rsidRDefault="003868F3" w:rsidP="003868F3">
      <w:pPr>
        <w:pStyle w:val="NormalWeb"/>
        <w:numPr>
          <w:ilvl w:val="0"/>
          <w:numId w:val="24"/>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(f.) Individuals already serving as surrogate parents identified as not receiving previous training will receive training within 90 calendar days of identification if there is no evidence training was previously provided by (TDFPS).</w:t>
      </w:r>
    </w:p>
    <w:p w14:paraId="0CD01CAF" w14:textId="77777777" w:rsidR="003868F3" w:rsidRPr="00FA3A76" w:rsidRDefault="003868F3" w:rsidP="003868F3">
      <w:pPr>
        <w:pStyle w:val="NormalWeb"/>
        <w:numPr>
          <w:ilvl w:val="0"/>
          <w:numId w:val="24"/>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(g.) The RCSS will keep records of those individuals who have received training and each person trained by our RCSS will be given a certificate to take should they move to another school and need evidence of training.</w:t>
      </w:r>
    </w:p>
    <w:p w14:paraId="26E91169" w14:textId="77777777" w:rsidR="003868F3" w:rsidRPr="00FA3A76" w:rsidRDefault="003868F3" w:rsidP="003868F3">
      <w:pPr>
        <w:pStyle w:val="NormalWeb"/>
        <w:numPr>
          <w:ilvl w:val="0"/>
          <w:numId w:val="24"/>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 xml:space="preserve">(h.) If the foster parent does not meet the criteria to serve as parent, the RCSS will appoint a surrogate parent. The RCSS will </w:t>
      </w:r>
      <w:proofErr w:type="gramStart"/>
      <w:r w:rsidRPr="00FA3A76">
        <w:rPr>
          <w:rFonts w:ascii="Verdana" w:hAnsi="Verdana" w:cs="Calibri"/>
          <w:iCs/>
          <w:sz w:val="20"/>
          <w:szCs w:val="20"/>
        </w:rPr>
        <w:t>give preferential consideration to</w:t>
      </w:r>
      <w:proofErr w:type="gramEnd"/>
      <w:r w:rsidRPr="00FA3A76">
        <w:rPr>
          <w:rFonts w:ascii="Verdana" w:hAnsi="Verdana" w:cs="Calibri"/>
          <w:iCs/>
          <w:sz w:val="20"/>
          <w:szCs w:val="20"/>
        </w:rPr>
        <w:t xml:space="preserve"> a foster parent of a student with a disability when assigning a surrogate parent for the child.</w:t>
      </w:r>
    </w:p>
    <w:p w14:paraId="564DA696" w14:textId="77777777" w:rsidR="003868F3" w:rsidRPr="00FA3A76" w:rsidRDefault="003868F3" w:rsidP="003868F3">
      <w:pPr>
        <w:pStyle w:val="NormalWeb"/>
        <w:numPr>
          <w:ilvl w:val="0"/>
          <w:numId w:val="24"/>
        </w:numPr>
        <w:shd w:val="clear" w:color="auto" w:fill="FFFFFF"/>
        <w:spacing w:before="0" w:beforeAutospacing="0" w:after="0" w:afterAutospacing="0"/>
        <w:ind w:left="360"/>
        <w:rPr>
          <w:rFonts w:ascii="Verdana" w:hAnsi="Verdana" w:cs="Calibri"/>
          <w:iCs/>
          <w:sz w:val="20"/>
          <w:szCs w:val="20"/>
        </w:rPr>
      </w:pPr>
      <w:r w:rsidRPr="00FA3A76">
        <w:rPr>
          <w:rFonts w:ascii="Verdana" w:hAnsi="Verdana" w:cs="Calibri"/>
          <w:iCs/>
          <w:sz w:val="20"/>
          <w:szCs w:val="20"/>
        </w:rPr>
        <w:t>(</w:t>
      </w:r>
      <w:proofErr w:type="spellStart"/>
      <w:r w:rsidRPr="00FA3A76">
        <w:rPr>
          <w:rFonts w:ascii="Verdana" w:hAnsi="Verdana" w:cs="Calibri"/>
          <w:iCs/>
          <w:sz w:val="20"/>
          <w:szCs w:val="20"/>
        </w:rPr>
        <w:t>i</w:t>
      </w:r>
      <w:proofErr w:type="spellEnd"/>
      <w:r w:rsidRPr="00FA3A76">
        <w:rPr>
          <w:rFonts w:ascii="Verdana" w:hAnsi="Verdana" w:cs="Calibri"/>
          <w:iCs/>
          <w:sz w:val="20"/>
          <w:szCs w:val="20"/>
        </w:rPr>
        <w:t>.) If the foster parent is denied serving as the surrogate parent, the RCSS will follow TAC §89.1047(d) to notify the foster parent of their right to file a complaint with TEA.</w:t>
      </w:r>
    </w:p>
    <w:p w14:paraId="375DB4A9" w14:textId="2DFF8D3A" w:rsidR="003868F3" w:rsidRPr="00FA3A76" w:rsidRDefault="003868F3" w:rsidP="00850B01">
      <w:pPr>
        <w:spacing w:after="0" w:line="240" w:lineRule="auto"/>
        <w:rPr>
          <w:rFonts w:eastAsia="Times New Roman" w:cs="Calibri"/>
          <w:color w:val="auto"/>
          <w:szCs w:val="20"/>
        </w:rPr>
      </w:pPr>
    </w:p>
    <w:p w14:paraId="2D35ECDD" w14:textId="49DD5962" w:rsidR="00FA14F7" w:rsidRPr="00FA3A76" w:rsidRDefault="00FA14F7" w:rsidP="00FA14F7">
      <w:pPr>
        <w:spacing w:after="0" w:line="240" w:lineRule="auto"/>
        <w:rPr>
          <w:rFonts w:cs="Calibri"/>
          <w:b/>
          <w:color w:val="000000" w:themeColor="text1"/>
          <w:szCs w:val="20"/>
        </w:rPr>
      </w:pPr>
      <w:r w:rsidRPr="00FA3A76">
        <w:rPr>
          <w:rFonts w:cs="Calibri"/>
          <w:b/>
          <w:bCs/>
          <w:color w:val="000000" w:themeColor="text1"/>
          <w:szCs w:val="20"/>
        </w:rPr>
        <w:t>Staff Responsible:</w:t>
      </w:r>
    </w:p>
    <w:p w14:paraId="08CC9E66" w14:textId="77777777" w:rsidR="00FA14F7" w:rsidRPr="00FA3A76" w:rsidRDefault="00FA14F7" w:rsidP="00FA14F7">
      <w:pPr>
        <w:spacing w:after="120" w:line="240" w:lineRule="auto"/>
        <w:ind w:firstLine="720"/>
        <w:contextualSpacing/>
        <w:rPr>
          <w:rFonts w:cs="Calibri"/>
          <w:color w:val="000000" w:themeColor="text1"/>
          <w:szCs w:val="20"/>
        </w:rPr>
      </w:pPr>
      <w:r w:rsidRPr="00FA3A76">
        <w:rPr>
          <w:rFonts w:cs="Calibri"/>
          <w:b/>
          <w:color w:val="000000" w:themeColor="text1"/>
          <w:szCs w:val="20"/>
        </w:rPr>
        <w:t xml:space="preserve">District Level: </w:t>
      </w:r>
      <w:r w:rsidRPr="00FA3A76">
        <w:rPr>
          <w:rFonts w:cs="Calibri"/>
          <w:color w:val="000000" w:themeColor="text1"/>
          <w:szCs w:val="20"/>
        </w:rPr>
        <w:t>Superintendent,</w:t>
      </w:r>
      <w:r w:rsidRPr="00FA3A76">
        <w:rPr>
          <w:rFonts w:cs="Calibri"/>
          <w:b/>
          <w:color w:val="000000" w:themeColor="text1"/>
          <w:szCs w:val="20"/>
        </w:rPr>
        <w:t xml:space="preserve"> </w:t>
      </w:r>
      <w:r w:rsidRPr="00FA3A76">
        <w:rPr>
          <w:rFonts w:cs="Calibri"/>
          <w:color w:val="000000" w:themeColor="text1"/>
          <w:szCs w:val="20"/>
        </w:rPr>
        <w:t>Special Education Director</w:t>
      </w:r>
    </w:p>
    <w:p w14:paraId="2CE566CE" w14:textId="3652EF73" w:rsidR="00FA14F7" w:rsidRPr="00FA3A76" w:rsidRDefault="00FA14F7" w:rsidP="00FA14F7">
      <w:pPr>
        <w:spacing w:after="120" w:line="240" w:lineRule="auto"/>
        <w:ind w:firstLine="720"/>
        <w:contextualSpacing/>
        <w:rPr>
          <w:rFonts w:cs="Calibri"/>
          <w:color w:val="000000" w:themeColor="text1"/>
          <w:szCs w:val="20"/>
        </w:rPr>
      </w:pPr>
      <w:r w:rsidRPr="00FA3A76">
        <w:rPr>
          <w:rFonts w:cs="Calibri"/>
          <w:b/>
          <w:color w:val="000000" w:themeColor="text1"/>
          <w:szCs w:val="20"/>
        </w:rPr>
        <w:t>Campus Level:</w:t>
      </w:r>
      <w:r w:rsidRPr="00FA3A76">
        <w:rPr>
          <w:rFonts w:cs="Calibri"/>
          <w:color w:val="000000" w:themeColor="text1"/>
          <w:szCs w:val="20"/>
        </w:rPr>
        <w:t xml:space="preserve"> Diagnostician/LSSP, Principal, Counselor, Enrollment Clerk  </w:t>
      </w:r>
    </w:p>
    <w:p w14:paraId="77A5A5B4" w14:textId="77777777" w:rsidR="00FA14F7" w:rsidRPr="00FA3A76" w:rsidRDefault="00FA14F7" w:rsidP="00FA14F7">
      <w:pPr>
        <w:spacing w:after="120" w:line="240" w:lineRule="auto"/>
        <w:contextualSpacing/>
        <w:rPr>
          <w:rFonts w:cs="Calibri"/>
          <w:color w:val="000000" w:themeColor="text1"/>
          <w:szCs w:val="20"/>
        </w:rPr>
      </w:pPr>
    </w:p>
    <w:p w14:paraId="28D2E56D" w14:textId="4DBCAC20" w:rsidR="00FA14F7" w:rsidRPr="00FA3A76" w:rsidRDefault="00C0277A" w:rsidP="00C0277A">
      <w:pPr>
        <w:spacing w:after="0" w:line="240" w:lineRule="auto"/>
        <w:contextualSpacing/>
        <w:rPr>
          <w:rFonts w:cs="Calibri"/>
          <w:b/>
          <w:bCs/>
          <w:color w:val="000000" w:themeColor="text1"/>
          <w:szCs w:val="20"/>
        </w:rPr>
      </w:pPr>
      <w:r w:rsidRPr="00FA3A76">
        <w:rPr>
          <w:rFonts w:cs="Calibri"/>
          <w:b/>
          <w:bCs/>
          <w:color w:val="000000" w:themeColor="text1"/>
          <w:szCs w:val="20"/>
        </w:rPr>
        <w:t>Timelines:</w:t>
      </w:r>
    </w:p>
    <w:p w14:paraId="44D7F6E2" w14:textId="40573273" w:rsidR="00DF505B" w:rsidRPr="00FA3A76" w:rsidRDefault="00FA14F7" w:rsidP="00E14879">
      <w:pPr>
        <w:pStyle w:val="ListParagraph"/>
        <w:widowControl w:val="0"/>
        <w:numPr>
          <w:ilvl w:val="0"/>
          <w:numId w:val="26"/>
        </w:numPr>
        <w:suppressAutoHyphens/>
        <w:autoSpaceDE w:val="0"/>
        <w:autoSpaceDN w:val="0"/>
        <w:spacing w:after="120" w:line="240" w:lineRule="auto"/>
        <w:contextualSpacing w:val="0"/>
        <w:jc w:val="both"/>
        <w:rPr>
          <w:rFonts w:cs="Calibri"/>
          <w:bCs/>
          <w:color w:val="000000" w:themeColor="text1"/>
          <w:szCs w:val="20"/>
        </w:rPr>
      </w:pPr>
      <w:r w:rsidRPr="00FA3A76">
        <w:rPr>
          <w:rFonts w:cs="Calibri"/>
          <w:color w:val="000000" w:themeColor="text1"/>
          <w:szCs w:val="20"/>
        </w:rPr>
        <w:t>Parent</w:t>
      </w:r>
      <w:r w:rsidR="00C0277A" w:rsidRPr="00FA3A76">
        <w:rPr>
          <w:rFonts w:cs="Calibri"/>
          <w:color w:val="000000" w:themeColor="text1"/>
          <w:szCs w:val="20"/>
        </w:rPr>
        <w:t xml:space="preserve"> information at time of enrollment</w:t>
      </w:r>
    </w:p>
    <w:p w14:paraId="6D2790BC" w14:textId="75B38507" w:rsidR="00FA14F7" w:rsidRPr="00FA3A76" w:rsidRDefault="00C0277A" w:rsidP="00C0277A">
      <w:pPr>
        <w:spacing w:after="0" w:line="240" w:lineRule="auto"/>
        <w:ind w:left="360"/>
        <w:rPr>
          <w:rFonts w:cs="Calibri"/>
          <w:bCs/>
          <w:color w:val="000000" w:themeColor="text1"/>
          <w:szCs w:val="20"/>
        </w:rPr>
      </w:pPr>
      <w:r w:rsidRPr="00FA3A76">
        <w:rPr>
          <w:rFonts w:cs="Calibri"/>
          <w:b/>
          <w:color w:val="000000" w:themeColor="text1"/>
          <w:szCs w:val="20"/>
        </w:rPr>
        <w:t>Evidence of Practice</w:t>
      </w:r>
      <w:r w:rsidR="00FA14F7" w:rsidRPr="00FA3A76">
        <w:rPr>
          <w:rFonts w:cs="Calibri"/>
          <w:b/>
          <w:color w:val="000000" w:themeColor="text1"/>
          <w:szCs w:val="20"/>
        </w:rPr>
        <w:t>:</w:t>
      </w:r>
    </w:p>
    <w:p w14:paraId="21E869EB" w14:textId="77777777" w:rsidR="00FA14F7" w:rsidRPr="00FA3A76" w:rsidRDefault="00FA14F7" w:rsidP="00FA14F7">
      <w:pPr>
        <w:pStyle w:val="ListParagraph"/>
        <w:numPr>
          <w:ilvl w:val="0"/>
          <w:numId w:val="25"/>
        </w:numPr>
        <w:spacing w:after="120" w:line="240" w:lineRule="auto"/>
        <w:rPr>
          <w:rFonts w:cs="Calibri"/>
          <w:bCs/>
          <w:color w:val="000000" w:themeColor="text1"/>
          <w:szCs w:val="20"/>
        </w:rPr>
      </w:pPr>
      <w:r w:rsidRPr="00FA3A76">
        <w:rPr>
          <w:rFonts w:cs="Calibri"/>
          <w:bCs/>
          <w:color w:val="000000" w:themeColor="text1"/>
          <w:szCs w:val="20"/>
        </w:rPr>
        <w:t>Forms or checklists</w:t>
      </w:r>
    </w:p>
    <w:p w14:paraId="7AD461DA" w14:textId="4C4040B6" w:rsidR="00FA14F7" w:rsidRPr="00FA3A76" w:rsidRDefault="00DF505B" w:rsidP="00FA14F7">
      <w:pPr>
        <w:pStyle w:val="ListParagraph"/>
        <w:numPr>
          <w:ilvl w:val="0"/>
          <w:numId w:val="25"/>
        </w:numPr>
        <w:spacing w:after="120" w:line="240" w:lineRule="auto"/>
        <w:rPr>
          <w:rFonts w:cs="Calibri"/>
          <w:bCs/>
          <w:color w:val="000000" w:themeColor="text1"/>
          <w:szCs w:val="20"/>
        </w:rPr>
      </w:pPr>
      <w:r w:rsidRPr="00FA3A76">
        <w:rPr>
          <w:rFonts w:cs="Calibri"/>
          <w:bCs/>
          <w:color w:val="000000" w:themeColor="text1"/>
          <w:szCs w:val="20"/>
        </w:rPr>
        <w:t xml:space="preserve">Surrogate parent training posted on the RCSSC website </w:t>
      </w:r>
    </w:p>
    <w:p w14:paraId="7B6467EC" w14:textId="77777777" w:rsidR="00DF505B" w:rsidRPr="00FA3A76" w:rsidRDefault="00DF505B" w:rsidP="00DF505B">
      <w:pPr>
        <w:pStyle w:val="ListParagraph"/>
        <w:numPr>
          <w:ilvl w:val="0"/>
          <w:numId w:val="25"/>
        </w:numPr>
        <w:spacing w:after="120" w:line="240" w:lineRule="auto"/>
        <w:rPr>
          <w:rFonts w:cs="Calibri"/>
          <w:bCs/>
          <w:color w:val="auto"/>
          <w:szCs w:val="20"/>
        </w:rPr>
      </w:pPr>
      <w:r w:rsidRPr="00FA3A76">
        <w:rPr>
          <w:rFonts w:cs="Arial"/>
          <w:color w:val="auto"/>
          <w:szCs w:val="20"/>
        </w:rPr>
        <w:t>Documentation of a parent’s legal authority to make educational decision for the student.</w:t>
      </w:r>
    </w:p>
    <w:p w14:paraId="3FD9BC44" w14:textId="77777777" w:rsidR="00FA14F7" w:rsidRPr="00FA3A76" w:rsidRDefault="00FA14F7" w:rsidP="00850B01">
      <w:pPr>
        <w:spacing w:after="0" w:line="240" w:lineRule="auto"/>
        <w:rPr>
          <w:rFonts w:eastAsia="Times New Roman" w:cs="Calibri"/>
          <w:color w:val="auto"/>
          <w:szCs w:val="20"/>
        </w:rPr>
      </w:pPr>
    </w:p>
    <w:sectPr w:rsidR="00FA14F7" w:rsidRPr="00FA3A76" w:rsidSect="00A15E59">
      <w:headerReference w:type="even" r:id="rId19"/>
      <w:headerReference w:type="default" r:id="rId20"/>
      <w:footerReference w:type="even" r:id="rId21"/>
      <w:footerReference w:type="default" r:id="rId22"/>
      <w:headerReference w:type="first" r:id="rId23"/>
      <w:footerReference w:type="first" r:id="rId24"/>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221A4" w14:textId="77777777" w:rsidR="004B095D" w:rsidRDefault="004B095D">
      <w:pPr>
        <w:spacing w:after="0" w:line="240" w:lineRule="auto"/>
      </w:pPr>
      <w:r>
        <w:separator/>
      </w:r>
    </w:p>
  </w:endnote>
  <w:endnote w:type="continuationSeparator" w:id="0">
    <w:p w14:paraId="23EB3343" w14:textId="77777777" w:rsidR="004B095D" w:rsidRDefault="004B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8ABF" w14:textId="77777777" w:rsidR="002073C1" w:rsidRDefault="00207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92"/>
      <w:gridCol w:w="6068"/>
    </w:tblGrid>
    <w:tr w:rsidR="00A15E59" w:rsidRPr="00CD22C5" w14:paraId="715B85D1" w14:textId="77777777" w:rsidTr="007A30FA">
      <w:trPr>
        <w:jc w:val="center"/>
      </w:trPr>
      <w:tc>
        <w:tcPr>
          <w:tcW w:w="3348" w:type="dxa"/>
          <w:vAlign w:val="center"/>
        </w:tcPr>
        <w:p w14:paraId="54DF81FE" w14:textId="2B0F0FC4"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3C18FB">
            <w:rPr>
              <w:b w:val="0"/>
              <w:sz w:val="16"/>
              <w:szCs w:val="16"/>
            </w:rPr>
            <w:t>Procedures</w:t>
          </w:r>
        </w:p>
      </w:tc>
      <w:tc>
        <w:tcPr>
          <w:tcW w:w="6228" w:type="dxa"/>
          <w:vAlign w:val="center"/>
        </w:tcPr>
        <w:p w14:paraId="1D8AD008" w14:textId="77777777" w:rsidR="00A15E59" w:rsidRPr="009A1B8F" w:rsidRDefault="00E328C5" w:rsidP="00E328C5">
          <w:pPr>
            <w:pStyle w:val="Footer"/>
            <w:tabs>
              <w:tab w:val="left" w:pos="1260"/>
            </w:tabs>
            <w:jc w:val="right"/>
            <w:rPr>
              <w:sz w:val="16"/>
              <w:szCs w:val="16"/>
            </w:rPr>
          </w:pPr>
          <w:r>
            <w:rPr>
              <w:sz w:val="16"/>
              <w:szCs w:val="16"/>
            </w:rPr>
            <w:t>PARENT</w:t>
          </w:r>
        </w:p>
      </w:tc>
    </w:tr>
    <w:tr w:rsidR="00A15E59" w:rsidRPr="00CD22C5" w14:paraId="53A1A549" w14:textId="77777777" w:rsidTr="007A30FA">
      <w:trPr>
        <w:jc w:val="center"/>
      </w:trPr>
      <w:tc>
        <w:tcPr>
          <w:tcW w:w="3348" w:type="dxa"/>
          <w:vAlign w:val="center"/>
        </w:tcPr>
        <w:p w14:paraId="5F2984A1" w14:textId="3F91AF4F"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856BDA">
            <w:rPr>
              <w:b w:val="0"/>
              <w:sz w:val="16"/>
              <w:szCs w:val="16"/>
            </w:rPr>
            <w:t>10/2025</w:t>
          </w:r>
          <w:bookmarkStart w:id="0" w:name="_GoBack"/>
          <w:bookmarkEnd w:id="0"/>
        </w:p>
      </w:tc>
      <w:tc>
        <w:tcPr>
          <w:tcW w:w="6228" w:type="dxa"/>
          <w:vAlign w:val="center"/>
        </w:tcPr>
        <w:p w14:paraId="56D20F4B" w14:textId="04EAF728"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974EE8">
            <w:rPr>
              <w:b w:val="0"/>
              <w:noProof/>
              <w:sz w:val="16"/>
              <w:szCs w:val="16"/>
            </w:rPr>
            <w:t>3</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974EE8">
            <w:rPr>
              <w:b w:val="0"/>
              <w:noProof/>
              <w:sz w:val="16"/>
              <w:szCs w:val="16"/>
            </w:rPr>
            <w:t>3</w:t>
          </w:r>
          <w:r w:rsidRPr="00CD22C5">
            <w:rPr>
              <w:b w:val="0"/>
              <w:sz w:val="16"/>
              <w:szCs w:val="16"/>
            </w:rPr>
            <w:fldChar w:fldCharType="end"/>
          </w:r>
        </w:p>
      </w:tc>
    </w:tr>
  </w:tbl>
  <w:p w14:paraId="7B4EB0B7"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0545D26A" w14:textId="77777777" w:rsidTr="00CD22C5">
      <w:tc>
        <w:tcPr>
          <w:tcW w:w="4338" w:type="dxa"/>
          <w:vAlign w:val="center"/>
        </w:tcPr>
        <w:p w14:paraId="318DD7A3"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2996479B"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0A8504E0" w14:textId="77777777" w:rsidTr="00CD22C5">
      <w:tc>
        <w:tcPr>
          <w:tcW w:w="4338" w:type="dxa"/>
          <w:vAlign w:val="center"/>
        </w:tcPr>
        <w:p w14:paraId="62A5DC76"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10077E4D"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99237D">
            <w:rPr>
              <w:b w:val="0"/>
              <w:noProof/>
              <w:sz w:val="16"/>
              <w:szCs w:val="16"/>
            </w:rPr>
            <w:t>3</w:t>
          </w:r>
          <w:r w:rsidRPr="00CD22C5">
            <w:rPr>
              <w:b w:val="0"/>
              <w:sz w:val="16"/>
              <w:szCs w:val="16"/>
            </w:rPr>
            <w:fldChar w:fldCharType="end"/>
          </w:r>
        </w:p>
      </w:tc>
    </w:tr>
  </w:tbl>
  <w:p w14:paraId="2C18C1FE"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5DEFE" w14:textId="77777777" w:rsidR="004B095D" w:rsidRDefault="004B095D">
      <w:pPr>
        <w:spacing w:after="0" w:line="240" w:lineRule="auto"/>
      </w:pPr>
      <w:r>
        <w:separator/>
      </w:r>
    </w:p>
  </w:footnote>
  <w:footnote w:type="continuationSeparator" w:id="0">
    <w:p w14:paraId="59AA9E96" w14:textId="77777777" w:rsidR="004B095D" w:rsidRDefault="004B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5E62" w14:textId="77777777" w:rsidR="002073C1" w:rsidRDefault="00207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77D4FA7F"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7A49AF3F" w14:textId="64E7490F" w:rsidR="00A15E59" w:rsidRPr="00A15E59" w:rsidRDefault="00A15E59" w:rsidP="00A15E59">
          <w:pPr>
            <w:pStyle w:val="Header"/>
            <w:spacing w:before="0"/>
            <w:jc w:val="center"/>
            <w:rPr>
              <w:color w:val="0F3966" w:themeColor="accent1"/>
              <w:sz w:val="24"/>
            </w:rPr>
          </w:pPr>
          <w:r w:rsidRPr="00A15E59">
            <w:rPr>
              <w:sz w:val="24"/>
            </w:rPr>
            <w:t xml:space="preserve">OPERATING </w:t>
          </w:r>
          <w:r w:rsidR="003C18FB">
            <w:rPr>
              <w:sz w:val="24"/>
            </w:rPr>
            <w:t>PROCEDURES</w:t>
          </w:r>
        </w:p>
      </w:tc>
    </w:tr>
    <w:tr w:rsidR="00A15E59" w:rsidRPr="00A15E59" w14:paraId="0D10ABE0"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409AC8A8" w14:textId="77777777" w:rsidR="00727C62" w:rsidRPr="00A15E59" w:rsidRDefault="00E328C5" w:rsidP="00E328C5">
          <w:pPr>
            <w:pStyle w:val="Header"/>
            <w:spacing w:before="0"/>
            <w:jc w:val="center"/>
            <w:rPr>
              <w:sz w:val="24"/>
            </w:rPr>
          </w:pPr>
          <w:r>
            <w:rPr>
              <w:sz w:val="24"/>
            </w:rPr>
            <w:t>PARENT</w:t>
          </w:r>
        </w:p>
      </w:tc>
    </w:tr>
    <w:tr w:rsidR="00A15E59" w:rsidRPr="00A15E59" w14:paraId="31FF55D9"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539E77DB" w14:textId="77FFED8A" w:rsidR="00C5529C" w:rsidRPr="00A15E59" w:rsidRDefault="00C5529C" w:rsidP="0017202D">
          <w:pPr>
            <w:pStyle w:val="Header"/>
            <w:spacing w:before="0"/>
            <w:jc w:val="left"/>
          </w:pPr>
          <w:r>
            <w:t xml:space="preserve">Robertson County Special Services </w:t>
          </w:r>
        </w:p>
      </w:tc>
      <w:tc>
        <w:tcPr>
          <w:tcW w:w="1710" w:type="dxa"/>
          <w:vAlign w:val="center"/>
        </w:tcPr>
        <w:p w14:paraId="0168F157" w14:textId="11ECEB85"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2B8D2500"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28C3" w14:textId="77777777" w:rsidR="002073C1" w:rsidRDefault="00207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A407DB8"/>
    <w:multiLevelType w:val="hybridMultilevel"/>
    <w:tmpl w:val="1672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AC1D57"/>
    <w:multiLevelType w:val="multilevel"/>
    <w:tmpl w:val="164CC3C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A16D93"/>
    <w:multiLevelType w:val="hybridMultilevel"/>
    <w:tmpl w:val="FFE0B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224A25"/>
    <w:multiLevelType w:val="multilevel"/>
    <w:tmpl w:val="8306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828F8"/>
    <w:multiLevelType w:val="multilevel"/>
    <w:tmpl w:val="E2AE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2D6FEB"/>
    <w:multiLevelType w:val="hybridMultilevel"/>
    <w:tmpl w:val="AAC2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F2537"/>
    <w:multiLevelType w:val="multilevel"/>
    <w:tmpl w:val="E66A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1E50B8"/>
    <w:multiLevelType w:val="multilevel"/>
    <w:tmpl w:val="E5F8D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1"/>
  </w:num>
  <w:num w:numId="14">
    <w:abstractNumId w:val="23"/>
  </w:num>
  <w:num w:numId="15">
    <w:abstractNumId w:val="15"/>
  </w:num>
  <w:num w:numId="16">
    <w:abstractNumId w:val="14"/>
  </w:num>
  <w:num w:numId="17">
    <w:abstractNumId w:val="10"/>
  </w:num>
  <w:num w:numId="18">
    <w:abstractNumId w:val="16"/>
  </w:num>
  <w:num w:numId="19">
    <w:abstractNumId w:val="13"/>
  </w:num>
  <w:num w:numId="20">
    <w:abstractNumId w:val="9"/>
  </w:num>
  <w:num w:numId="21">
    <w:abstractNumId w:val="24"/>
  </w:num>
  <w:num w:numId="22">
    <w:abstractNumId w:val="20"/>
  </w:num>
  <w:num w:numId="23">
    <w:abstractNumId w:val="18"/>
  </w:num>
  <w:num w:numId="24">
    <w:abstractNumId w:val="22"/>
  </w:num>
  <w:num w:numId="25">
    <w:abstractNumId w:val="19"/>
  </w:num>
  <w:num w:numId="26">
    <w:abstractNumId w:val="2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94A7F"/>
    <w:rsid w:val="00097652"/>
    <w:rsid w:val="000C084D"/>
    <w:rsid w:val="000C551A"/>
    <w:rsid w:val="000E725C"/>
    <w:rsid w:val="0010401E"/>
    <w:rsid w:val="00120FE6"/>
    <w:rsid w:val="00140EB8"/>
    <w:rsid w:val="0017202D"/>
    <w:rsid w:val="001926E0"/>
    <w:rsid w:val="001B15B4"/>
    <w:rsid w:val="001C6AC8"/>
    <w:rsid w:val="001E4ECB"/>
    <w:rsid w:val="002045E8"/>
    <w:rsid w:val="00204CBC"/>
    <w:rsid w:val="002073C1"/>
    <w:rsid w:val="0021764D"/>
    <w:rsid w:val="00271990"/>
    <w:rsid w:val="00287E6A"/>
    <w:rsid w:val="00297B60"/>
    <w:rsid w:val="00303829"/>
    <w:rsid w:val="003868F3"/>
    <w:rsid w:val="003920EE"/>
    <w:rsid w:val="003C01C1"/>
    <w:rsid w:val="003C18FB"/>
    <w:rsid w:val="003D7EB8"/>
    <w:rsid w:val="0040689C"/>
    <w:rsid w:val="00406D2F"/>
    <w:rsid w:val="00426C23"/>
    <w:rsid w:val="004424E9"/>
    <w:rsid w:val="00452D0C"/>
    <w:rsid w:val="00462709"/>
    <w:rsid w:val="00477404"/>
    <w:rsid w:val="004B095D"/>
    <w:rsid w:val="004C26A1"/>
    <w:rsid w:val="004E2A26"/>
    <w:rsid w:val="004F27C1"/>
    <w:rsid w:val="004F452C"/>
    <w:rsid w:val="00512E3A"/>
    <w:rsid w:val="00534E00"/>
    <w:rsid w:val="005B264F"/>
    <w:rsid w:val="005E3B61"/>
    <w:rsid w:val="005F030D"/>
    <w:rsid w:val="005F40B0"/>
    <w:rsid w:val="006051AC"/>
    <w:rsid w:val="00633C11"/>
    <w:rsid w:val="006760D9"/>
    <w:rsid w:val="006D6523"/>
    <w:rsid w:val="006E3F0A"/>
    <w:rsid w:val="00727C62"/>
    <w:rsid w:val="007A30FA"/>
    <w:rsid w:val="007D5D41"/>
    <w:rsid w:val="00831F03"/>
    <w:rsid w:val="00836D82"/>
    <w:rsid w:val="00850B01"/>
    <w:rsid w:val="00856BDA"/>
    <w:rsid w:val="00884D94"/>
    <w:rsid w:val="00894CA1"/>
    <w:rsid w:val="008B4399"/>
    <w:rsid w:val="008D615A"/>
    <w:rsid w:val="008E1425"/>
    <w:rsid w:val="008F656D"/>
    <w:rsid w:val="00924B11"/>
    <w:rsid w:val="009415A3"/>
    <w:rsid w:val="00962988"/>
    <w:rsid w:val="00974EE8"/>
    <w:rsid w:val="00976E6E"/>
    <w:rsid w:val="00980EAE"/>
    <w:rsid w:val="0099237D"/>
    <w:rsid w:val="00996831"/>
    <w:rsid w:val="009A22C9"/>
    <w:rsid w:val="009E6382"/>
    <w:rsid w:val="00A15E59"/>
    <w:rsid w:val="00A26C34"/>
    <w:rsid w:val="00A57B2F"/>
    <w:rsid w:val="00A917FF"/>
    <w:rsid w:val="00AA0D55"/>
    <w:rsid w:val="00AF4B0B"/>
    <w:rsid w:val="00B70BE3"/>
    <w:rsid w:val="00B9548B"/>
    <w:rsid w:val="00BD533D"/>
    <w:rsid w:val="00BE4D54"/>
    <w:rsid w:val="00BF06FA"/>
    <w:rsid w:val="00C0277A"/>
    <w:rsid w:val="00C24BAB"/>
    <w:rsid w:val="00C2558A"/>
    <w:rsid w:val="00C5529C"/>
    <w:rsid w:val="00C6562F"/>
    <w:rsid w:val="00CA62A4"/>
    <w:rsid w:val="00CD22C5"/>
    <w:rsid w:val="00CE5EEE"/>
    <w:rsid w:val="00D100AD"/>
    <w:rsid w:val="00D45E93"/>
    <w:rsid w:val="00D46B8E"/>
    <w:rsid w:val="00D51F45"/>
    <w:rsid w:val="00D54A17"/>
    <w:rsid w:val="00DA3CC6"/>
    <w:rsid w:val="00DB1D0D"/>
    <w:rsid w:val="00DB231F"/>
    <w:rsid w:val="00DF505B"/>
    <w:rsid w:val="00DF5B9C"/>
    <w:rsid w:val="00E00450"/>
    <w:rsid w:val="00E009AB"/>
    <w:rsid w:val="00E164D4"/>
    <w:rsid w:val="00E20AB4"/>
    <w:rsid w:val="00E21132"/>
    <w:rsid w:val="00E30FC1"/>
    <w:rsid w:val="00E32649"/>
    <w:rsid w:val="00E328C5"/>
    <w:rsid w:val="00E37D8B"/>
    <w:rsid w:val="00E514A4"/>
    <w:rsid w:val="00E542E9"/>
    <w:rsid w:val="00E7452F"/>
    <w:rsid w:val="00ED5C01"/>
    <w:rsid w:val="00EE1684"/>
    <w:rsid w:val="00EE1F1C"/>
    <w:rsid w:val="00F03989"/>
    <w:rsid w:val="00F04CEA"/>
    <w:rsid w:val="00F11CFF"/>
    <w:rsid w:val="00F53CE2"/>
    <w:rsid w:val="00F90F60"/>
    <w:rsid w:val="00F964EF"/>
    <w:rsid w:val="00FA14F7"/>
    <w:rsid w:val="00FA3A76"/>
    <w:rsid w:val="00FC4DAA"/>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991D8"/>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semiHidden/>
    <w:unhideWhenUsed/>
    <w:qFormat/>
    <w:rsid w:val="003868F3"/>
    <w:pPr>
      <w:keepNext/>
      <w:keepLines/>
      <w:spacing w:before="40" w:after="0"/>
      <w:outlineLvl w:val="3"/>
    </w:pPr>
    <w:rPr>
      <w:rFonts w:asciiTheme="majorHAnsi" w:eastAsiaTheme="majorEastAsia" w:hAnsiTheme="majorHAnsi" w:cstheme="majorBidi"/>
      <w:i/>
      <w:iCs/>
      <w:color w:val="0B2A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8B4399"/>
    <w:pPr>
      <w:ind w:left="720"/>
      <w:contextualSpacing/>
    </w:pPr>
  </w:style>
  <w:style w:type="character" w:customStyle="1" w:styleId="Heading4Char">
    <w:name w:val="Heading 4 Char"/>
    <w:basedOn w:val="DefaultParagraphFont"/>
    <w:link w:val="Heading4"/>
    <w:uiPriority w:val="9"/>
    <w:semiHidden/>
    <w:rsid w:val="003868F3"/>
    <w:rPr>
      <w:rFonts w:asciiTheme="majorHAnsi" w:eastAsiaTheme="majorEastAsia" w:hAnsiTheme="majorHAnsi" w:cstheme="majorBidi"/>
      <w:i/>
      <w:iCs/>
      <w:color w:val="0B2A4C" w:themeColor="accent1" w:themeShade="BF"/>
      <w:sz w:val="20"/>
    </w:rPr>
  </w:style>
  <w:style w:type="paragraph" w:styleId="NormalWeb">
    <w:name w:val="Normal (Web)"/>
    <w:basedOn w:val="Normal"/>
    <w:uiPriority w:val="99"/>
    <w:semiHidden/>
    <w:unhideWhenUsed/>
    <w:rsid w:val="003868F3"/>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ListParagraphChar">
    <w:name w:val="List Paragraph Char"/>
    <w:aliases w:val="Numbered List Paragraph Char"/>
    <w:link w:val="ListParagraph"/>
    <w:uiPriority w:val="34"/>
    <w:locked/>
    <w:rsid w:val="00DF505B"/>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97436">
      <w:bodyDiv w:val="1"/>
      <w:marLeft w:val="0"/>
      <w:marRight w:val="0"/>
      <w:marTop w:val="0"/>
      <w:marBottom w:val="0"/>
      <w:divBdr>
        <w:top w:val="none" w:sz="0" w:space="0" w:color="auto"/>
        <w:left w:val="none" w:sz="0" w:space="0" w:color="auto"/>
        <w:bottom w:val="none" w:sz="0" w:space="0" w:color="auto"/>
        <w:right w:val="none" w:sz="0" w:space="0" w:color="auto"/>
      </w:divBdr>
      <w:divsChild>
        <w:div w:id="1571623150">
          <w:marLeft w:val="0"/>
          <w:marRight w:val="0"/>
          <w:marTop w:val="0"/>
          <w:marBottom w:val="0"/>
          <w:divBdr>
            <w:top w:val="none" w:sz="0" w:space="0" w:color="auto"/>
            <w:left w:val="none" w:sz="0" w:space="0" w:color="auto"/>
            <w:bottom w:val="none" w:sz="0" w:space="0" w:color="auto"/>
            <w:right w:val="none" w:sz="0" w:space="0" w:color="auto"/>
          </w:divBdr>
          <w:divsChild>
            <w:div w:id="2132239559">
              <w:marLeft w:val="0"/>
              <w:marRight w:val="0"/>
              <w:marTop w:val="0"/>
              <w:marBottom w:val="0"/>
              <w:divBdr>
                <w:top w:val="none" w:sz="0" w:space="0" w:color="auto"/>
                <w:left w:val="none" w:sz="0" w:space="0" w:color="auto"/>
                <w:bottom w:val="none" w:sz="0" w:space="0" w:color="auto"/>
                <w:right w:val="none" w:sz="0" w:space="0" w:color="auto"/>
              </w:divBdr>
            </w:div>
          </w:divsChild>
        </w:div>
        <w:div w:id="391392341">
          <w:marLeft w:val="0"/>
          <w:marRight w:val="0"/>
          <w:marTop w:val="0"/>
          <w:marBottom w:val="0"/>
          <w:divBdr>
            <w:top w:val="none" w:sz="0" w:space="0" w:color="auto"/>
            <w:left w:val="none" w:sz="0" w:space="0" w:color="auto"/>
            <w:bottom w:val="none" w:sz="0" w:space="0" w:color="auto"/>
            <w:right w:val="none" w:sz="0" w:space="0" w:color="auto"/>
          </w:divBdr>
          <w:divsChild>
            <w:div w:id="260528201">
              <w:marLeft w:val="0"/>
              <w:marRight w:val="0"/>
              <w:marTop w:val="0"/>
              <w:marBottom w:val="0"/>
              <w:divBdr>
                <w:top w:val="none" w:sz="0" w:space="0" w:color="auto"/>
                <w:left w:val="none" w:sz="0" w:space="0" w:color="auto"/>
                <w:bottom w:val="none" w:sz="0" w:space="0" w:color="auto"/>
                <w:right w:val="none" w:sz="0" w:space="0" w:color="auto"/>
              </w:divBdr>
            </w:div>
          </w:divsChild>
        </w:div>
        <w:div w:id="2027823899">
          <w:marLeft w:val="0"/>
          <w:marRight w:val="0"/>
          <w:marTop w:val="0"/>
          <w:marBottom w:val="0"/>
          <w:divBdr>
            <w:top w:val="none" w:sz="0" w:space="0" w:color="auto"/>
            <w:left w:val="none" w:sz="0" w:space="0" w:color="auto"/>
            <w:bottom w:val="none" w:sz="0" w:space="0" w:color="auto"/>
            <w:right w:val="none" w:sz="0" w:space="0" w:color="auto"/>
          </w:divBdr>
          <w:divsChild>
            <w:div w:id="1518076244">
              <w:marLeft w:val="0"/>
              <w:marRight w:val="0"/>
              <w:marTop w:val="0"/>
              <w:marBottom w:val="0"/>
              <w:divBdr>
                <w:top w:val="none" w:sz="0" w:space="0" w:color="auto"/>
                <w:left w:val="none" w:sz="0" w:space="0" w:color="auto"/>
                <w:bottom w:val="none" w:sz="0" w:space="0" w:color="auto"/>
                <w:right w:val="none" w:sz="0" w:space="0" w:color="auto"/>
              </w:divBdr>
            </w:div>
          </w:divsChild>
        </w:div>
        <w:div w:id="1828202254">
          <w:marLeft w:val="0"/>
          <w:marRight w:val="0"/>
          <w:marTop w:val="0"/>
          <w:marBottom w:val="0"/>
          <w:divBdr>
            <w:top w:val="none" w:sz="0" w:space="0" w:color="auto"/>
            <w:left w:val="none" w:sz="0" w:space="0" w:color="auto"/>
            <w:bottom w:val="none" w:sz="0" w:space="0" w:color="auto"/>
            <w:right w:val="none" w:sz="0" w:space="0" w:color="auto"/>
          </w:divBdr>
          <w:divsChild>
            <w:div w:id="569928978">
              <w:marLeft w:val="0"/>
              <w:marRight w:val="0"/>
              <w:marTop w:val="0"/>
              <w:marBottom w:val="0"/>
              <w:divBdr>
                <w:top w:val="none" w:sz="0" w:space="0" w:color="auto"/>
                <w:left w:val="none" w:sz="0" w:space="0" w:color="auto"/>
                <w:bottom w:val="none" w:sz="0" w:space="0" w:color="auto"/>
                <w:right w:val="none" w:sz="0" w:space="0" w:color="auto"/>
              </w:divBdr>
            </w:div>
          </w:divsChild>
        </w:div>
        <w:div w:id="1201434482">
          <w:marLeft w:val="0"/>
          <w:marRight w:val="0"/>
          <w:marTop w:val="0"/>
          <w:marBottom w:val="0"/>
          <w:divBdr>
            <w:top w:val="none" w:sz="0" w:space="0" w:color="auto"/>
            <w:left w:val="none" w:sz="0" w:space="0" w:color="auto"/>
            <w:bottom w:val="none" w:sz="0" w:space="0" w:color="auto"/>
            <w:right w:val="none" w:sz="0" w:space="0" w:color="auto"/>
          </w:divBdr>
          <w:divsChild>
            <w:div w:id="477773213">
              <w:marLeft w:val="0"/>
              <w:marRight w:val="0"/>
              <w:marTop w:val="0"/>
              <w:marBottom w:val="0"/>
              <w:divBdr>
                <w:top w:val="none" w:sz="0" w:space="0" w:color="auto"/>
                <w:left w:val="none" w:sz="0" w:space="0" w:color="auto"/>
                <w:bottom w:val="none" w:sz="0" w:space="0" w:color="auto"/>
                <w:right w:val="none" w:sz="0" w:space="0" w:color="auto"/>
              </w:divBdr>
            </w:div>
          </w:divsChild>
        </w:div>
        <w:div w:id="742145890">
          <w:marLeft w:val="0"/>
          <w:marRight w:val="0"/>
          <w:marTop w:val="0"/>
          <w:marBottom w:val="0"/>
          <w:divBdr>
            <w:top w:val="none" w:sz="0" w:space="0" w:color="auto"/>
            <w:left w:val="none" w:sz="0" w:space="0" w:color="auto"/>
            <w:bottom w:val="none" w:sz="0" w:space="0" w:color="auto"/>
            <w:right w:val="none" w:sz="0" w:space="0" w:color="auto"/>
          </w:divBdr>
          <w:divsChild>
            <w:div w:id="4870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7387">
      <w:bodyDiv w:val="1"/>
      <w:marLeft w:val="0"/>
      <w:marRight w:val="0"/>
      <w:marTop w:val="0"/>
      <w:marBottom w:val="0"/>
      <w:divBdr>
        <w:top w:val="none" w:sz="0" w:space="0" w:color="auto"/>
        <w:left w:val="none" w:sz="0" w:space="0" w:color="auto"/>
        <w:bottom w:val="none" w:sz="0" w:space="0" w:color="auto"/>
        <w:right w:val="none" w:sz="0" w:space="0" w:color="auto"/>
      </w:divBdr>
    </w:div>
    <w:div w:id="1018580676">
      <w:bodyDiv w:val="1"/>
      <w:marLeft w:val="0"/>
      <w:marRight w:val="0"/>
      <w:marTop w:val="0"/>
      <w:marBottom w:val="0"/>
      <w:divBdr>
        <w:top w:val="none" w:sz="0" w:space="0" w:color="auto"/>
        <w:left w:val="none" w:sz="0" w:space="0" w:color="auto"/>
        <w:bottom w:val="none" w:sz="0" w:space="0" w:color="auto"/>
        <w:right w:val="none" w:sz="0" w:space="0" w:color="auto"/>
      </w:divBdr>
    </w:div>
    <w:div w:id="1422602075">
      <w:bodyDiv w:val="1"/>
      <w:marLeft w:val="0"/>
      <w:marRight w:val="0"/>
      <w:marTop w:val="0"/>
      <w:marBottom w:val="0"/>
      <w:divBdr>
        <w:top w:val="none" w:sz="0" w:space="0" w:color="auto"/>
        <w:left w:val="none" w:sz="0" w:space="0" w:color="auto"/>
        <w:bottom w:val="none" w:sz="0" w:space="0" w:color="auto"/>
        <w:right w:val="none" w:sz="0" w:space="0" w:color="auto"/>
      </w:divBdr>
    </w:div>
    <w:div w:id="155866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23&amp;DT=G&amp;LID=en" TargetMode="External"/><Relationship Id="rId13" Type="http://schemas.openxmlformats.org/officeDocument/2006/relationships/hyperlink" Target="http://www2.ed.gov/policy/speced/guid/idea/letters/2009-3/cox082109revocationofconsent3q2009.pdf" TargetMode="External"/><Relationship Id="rId18" Type="http://schemas.openxmlformats.org/officeDocument/2006/relationships/hyperlink" Target="https://framework.esc18.net/display/Webforms/LandingPage.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2.ed.gov/policy/speced/guid/idea/letters/2010-3/ward083110revocofconsent3q2010.pdf" TargetMode="External"/><Relationship Id="rId17" Type="http://schemas.openxmlformats.org/officeDocument/2006/relationships/hyperlink" Target="https://tea.texas.gov/FosterCareStudentSucces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2.ed.gov/policy/speced/guid/idea/letters/2005-1/serwecki022805iep1q2005.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d.gov/policy/speced/guid/idea/letters/2009-3/cox082109revocationofconsent3q2009.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2.ed.gov/policy/speced/guid/spec-ed-homelessness-q-a.pdf" TargetMode="External"/><Relationship Id="rId23" Type="http://schemas.openxmlformats.org/officeDocument/2006/relationships/header" Target="header3.xml"/><Relationship Id="rId10" Type="http://schemas.openxmlformats.org/officeDocument/2006/relationships/hyperlink" Target="http://idea.ed.gov/explore/view/p-old/,root,dynamic,QaCorner,3,.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2.ed.gov/policy/speced/guid/idea/letters/2009-3/cox082109revocationofconsent3q2009.pdf" TargetMode="External"/><Relationship Id="rId14" Type="http://schemas.openxmlformats.org/officeDocument/2006/relationships/hyperlink" Target="https://www2.ed.gov/policy/gen/guid/correctional-education/idea-letter.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D1D561B-68B6-4FC5-97ED-83C7E3A63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2610</Words>
  <Characters>14879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24</cp:revision>
  <cp:lastPrinted>2016-03-01T22:06:00Z</cp:lastPrinted>
  <dcterms:created xsi:type="dcterms:W3CDTF">2020-09-16T13:39:00Z</dcterms:created>
  <dcterms:modified xsi:type="dcterms:W3CDTF">2025-10-27T14:49:00Z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