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B03DB" w14:textId="77777777"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tgtFrame="_blank" w:history="1">
        <w:r w:rsidR="00333AEA">
          <w:rPr>
            <w:rStyle w:val="Hyperlink"/>
            <w:szCs w:val="20"/>
          </w:rPr>
          <w:t>Rule of Construction</w:t>
        </w:r>
      </w:hyperlink>
      <w:r w:rsidRPr="008E1425">
        <w:rPr>
          <w:color w:val="000000" w:themeColor="text1"/>
          <w:szCs w:val="20"/>
        </w:rPr>
        <w:t xml:space="preserve"> </w:t>
      </w:r>
    </w:p>
    <w:p w14:paraId="146FD61B" w14:textId="77777777"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w:t>
      </w:r>
      <w:r w:rsidR="00E73801">
        <w:rPr>
          <w:color w:val="000000" w:themeColor="text1"/>
          <w:szCs w:val="20"/>
        </w:rPr>
        <w:t>Admission, Review, and Dismissal Committee</w:t>
      </w:r>
      <w:r w:rsidR="009415A3">
        <w:rPr>
          <w:color w:val="000099"/>
          <w:szCs w:val="20"/>
        </w:rPr>
        <w:tab/>
      </w:r>
      <w:r w:rsidR="00980EAE">
        <w:rPr>
          <w:color w:val="000000" w:themeColor="text1"/>
          <w:sz w:val="12"/>
          <w:szCs w:val="12"/>
        </w:rPr>
        <w:t>Template update Oct</w:t>
      </w:r>
      <w:r w:rsidR="009415A3" w:rsidRPr="009415A3">
        <w:rPr>
          <w:color w:val="000000" w:themeColor="text1"/>
          <w:sz w:val="12"/>
          <w:szCs w:val="12"/>
        </w:rPr>
        <w:t xml:space="preserve"> 2016</w:t>
      </w:r>
    </w:p>
    <w:p w14:paraId="217592B7" w14:textId="77777777" w:rsidR="00D46B8E" w:rsidRDefault="00D46B8E" w:rsidP="00D46B8E">
      <w:pPr>
        <w:spacing w:after="0" w:line="240" w:lineRule="auto"/>
        <w:jc w:val="both"/>
        <w:rPr>
          <w:rFonts w:eastAsia="Times New Roman" w:cs="Times New Roman"/>
          <w:color w:val="auto"/>
          <w:szCs w:val="20"/>
        </w:rPr>
      </w:pPr>
    </w:p>
    <w:p w14:paraId="368A4634" w14:textId="77777777" w:rsidR="004D3B92" w:rsidRPr="004D3B92" w:rsidRDefault="004D3B92" w:rsidP="004D3B92">
      <w:pPr>
        <w:spacing w:after="0" w:line="240" w:lineRule="auto"/>
        <w:jc w:val="both"/>
        <w:rPr>
          <w:rFonts w:eastAsia="Times New Roman" w:cs="Tahoma"/>
          <w:color w:val="000000"/>
          <w:szCs w:val="20"/>
        </w:rPr>
      </w:pPr>
      <w:r w:rsidRPr="004D3B92">
        <w:rPr>
          <w:rFonts w:eastAsia="Times New Roman" w:cs="Tahoma"/>
          <w:color w:val="000000"/>
          <w:szCs w:val="20"/>
        </w:rPr>
        <w:t>“There is nothing in the Act that limits States and LEAs from adding elements to the [individualized education program] IEP, so long as the elements are not inconsistent with the Act or these regulations, and States do not interpret the Act to require these additional elements. Section 300.320(d), consistent with section 614(d)(1)(A)(ii)(I) of the Act, does not prohibit States or LEAs from requiring IEPs to include information beyond that which is explicitly required in section 614 of the Act. However, if a State requires IEPs to include information beyond that which is explicitly required in section 614 of the Act, the State must identify in writing to its LEAs and the Secretary that it is a State-imposed requirement and not one based on the Act or these regulations, consistent with § 300.199(a)(2) and section 608(a)(2) of the Act.”  71 Fed. Reg. 46669 (August 14, 2006).</w:t>
      </w:r>
    </w:p>
    <w:p w14:paraId="71B41CEB" w14:textId="77777777" w:rsidR="004D3B92" w:rsidRPr="004D3B92" w:rsidRDefault="004D3B92" w:rsidP="004D3B92">
      <w:pPr>
        <w:spacing w:after="0" w:line="240" w:lineRule="auto"/>
        <w:jc w:val="both"/>
        <w:rPr>
          <w:rFonts w:eastAsia="Times New Roman" w:cs="Tahoma"/>
          <w:color w:val="000000"/>
          <w:szCs w:val="20"/>
        </w:rPr>
      </w:pPr>
    </w:p>
    <w:p w14:paraId="25C65005" w14:textId="77777777" w:rsidR="004D3B92" w:rsidRDefault="004D3B92" w:rsidP="004D3B92">
      <w:pPr>
        <w:spacing w:after="0" w:line="240" w:lineRule="auto"/>
        <w:jc w:val="both"/>
        <w:rPr>
          <w:rFonts w:eastAsia="Times New Roman" w:cs="Tahoma"/>
          <w:b/>
          <w:color w:val="000000"/>
          <w:szCs w:val="20"/>
          <w:u w:val="single"/>
        </w:rPr>
      </w:pPr>
      <w:r w:rsidRPr="004D3B92">
        <w:rPr>
          <w:rFonts w:eastAsia="Times New Roman" w:cs="Tahoma"/>
          <w:b/>
          <w:color w:val="000000"/>
          <w:szCs w:val="20"/>
          <w:u w:val="single"/>
        </w:rPr>
        <w:t>Application Guidance</w:t>
      </w:r>
    </w:p>
    <w:p w14:paraId="43F891FA" w14:textId="77777777" w:rsidR="004D3B92" w:rsidRPr="004D3B92" w:rsidRDefault="004D3B92" w:rsidP="004D3B92">
      <w:pPr>
        <w:spacing w:after="0" w:line="240" w:lineRule="auto"/>
        <w:jc w:val="both"/>
        <w:rPr>
          <w:rFonts w:eastAsia="Times New Roman" w:cs="Tahoma"/>
          <w:color w:val="000000"/>
          <w:szCs w:val="20"/>
        </w:rPr>
      </w:pPr>
    </w:p>
    <w:p w14:paraId="32050C92" w14:textId="77777777" w:rsidR="004D3B92" w:rsidRPr="004D3B92" w:rsidRDefault="002F41D6" w:rsidP="004D3B92">
      <w:pPr>
        <w:numPr>
          <w:ilvl w:val="0"/>
          <w:numId w:val="22"/>
        </w:numPr>
        <w:spacing w:after="0" w:line="240" w:lineRule="auto"/>
        <w:jc w:val="both"/>
        <w:rPr>
          <w:rFonts w:eastAsia="Times New Roman" w:cs="Tahoma"/>
          <w:color w:val="000000"/>
          <w:szCs w:val="20"/>
        </w:rPr>
      </w:pPr>
      <w:hyperlink r:id="rId9" w:history="1">
        <w:r w:rsidR="004D3B92" w:rsidRPr="004D3B92">
          <w:rPr>
            <w:rStyle w:val="Hyperlink"/>
            <w:rFonts w:eastAsia="Times New Roman" w:cs="Tahoma"/>
            <w:szCs w:val="20"/>
          </w:rPr>
          <w:t>The Legal Framework for the Child-Centered Process: Glossary of Terms</w:t>
        </w:r>
      </w:hyperlink>
      <w:r w:rsidR="004D3B92" w:rsidRPr="004D3B92">
        <w:rPr>
          <w:rFonts w:eastAsia="Times New Roman" w:cs="Tahoma"/>
          <w:color w:val="000000"/>
          <w:szCs w:val="20"/>
        </w:rPr>
        <w:t xml:space="preserve"> (Region 18 ESC)</w:t>
      </w:r>
    </w:p>
    <w:p w14:paraId="06C01456" w14:textId="77777777" w:rsidR="004D3B92" w:rsidRPr="004D3B92" w:rsidRDefault="002F41D6" w:rsidP="004D3B92">
      <w:pPr>
        <w:numPr>
          <w:ilvl w:val="0"/>
          <w:numId w:val="22"/>
        </w:numPr>
        <w:spacing w:after="0" w:line="240" w:lineRule="auto"/>
        <w:jc w:val="both"/>
        <w:rPr>
          <w:rFonts w:eastAsia="Times New Roman" w:cs="Tahoma"/>
          <w:color w:val="000000"/>
          <w:szCs w:val="20"/>
        </w:rPr>
      </w:pPr>
      <w:hyperlink r:id="rId10" w:history="1">
        <w:r w:rsidR="004D3B92" w:rsidRPr="004D3B92">
          <w:rPr>
            <w:rStyle w:val="Hyperlink"/>
            <w:rFonts w:eastAsia="Times New Roman" w:cs="Tahoma"/>
            <w:szCs w:val="20"/>
          </w:rPr>
          <w:t>IEP Model Form</w:t>
        </w:r>
      </w:hyperlink>
      <w:r w:rsidR="004D3B92" w:rsidRPr="004D3B92">
        <w:rPr>
          <w:rFonts w:eastAsia="Times New Roman" w:cs="Tahoma"/>
          <w:color w:val="000000"/>
          <w:szCs w:val="20"/>
        </w:rPr>
        <w:t xml:space="preserve"> (TEA)</w:t>
      </w:r>
    </w:p>
    <w:p w14:paraId="11D8CBCF" w14:textId="77777777" w:rsidR="004D3B92" w:rsidRPr="004D3B92" w:rsidRDefault="002F41D6" w:rsidP="004D3B92">
      <w:pPr>
        <w:numPr>
          <w:ilvl w:val="0"/>
          <w:numId w:val="22"/>
        </w:numPr>
        <w:spacing w:after="0" w:line="240" w:lineRule="auto"/>
        <w:jc w:val="both"/>
        <w:rPr>
          <w:rFonts w:eastAsia="Times New Roman" w:cs="Tahoma"/>
          <w:color w:val="000000"/>
          <w:szCs w:val="20"/>
        </w:rPr>
      </w:pPr>
      <w:hyperlink r:id="rId11" w:history="1">
        <w:r w:rsidR="004D3B92" w:rsidRPr="004D3B92">
          <w:rPr>
            <w:rStyle w:val="Hyperlink"/>
            <w:rFonts w:eastAsia="Times New Roman" w:cs="Tahoma"/>
            <w:szCs w:val="20"/>
          </w:rPr>
          <w:t>Model Form: Individualized Education Program</w:t>
        </w:r>
      </w:hyperlink>
      <w:r w:rsidR="004D3B92" w:rsidRPr="004D3B92">
        <w:rPr>
          <w:rFonts w:eastAsia="Times New Roman" w:cs="Tahoma"/>
          <w:color w:val="000000"/>
          <w:szCs w:val="20"/>
        </w:rPr>
        <w:t xml:space="preserve"> (OSEP)</w:t>
      </w:r>
    </w:p>
    <w:p w14:paraId="450F9040" w14:textId="77777777" w:rsidR="004D3B92" w:rsidRPr="004D3B92" w:rsidRDefault="004D3B92" w:rsidP="004D3B92">
      <w:pPr>
        <w:spacing w:after="0" w:line="240" w:lineRule="auto"/>
        <w:jc w:val="both"/>
        <w:rPr>
          <w:rFonts w:eastAsia="Times New Roman" w:cs="Tahoma"/>
          <w:color w:val="000000"/>
          <w:szCs w:val="20"/>
        </w:rPr>
      </w:pPr>
    </w:p>
    <w:p w14:paraId="011DCF1B" w14:textId="05CB9E27" w:rsidR="004D3B92" w:rsidRPr="004D3B92" w:rsidRDefault="004D3B92" w:rsidP="004D3B92">
      <w:pPr>
        <w:spacing w:after="0" w:line="240" w:lineRule="auto"/>
        <w:jc w:val="both"/>
        <w:rPr>
          <w:rFonts w:eastAsia="Times New Roman" w:cs="Tahoma"/>
          <w:color w:val="000000"/>
          <w:szCs w:val="20"/>
        </w:rPr>
      </w:pPr>
      <w:r w:rsidRPr="004D3B92">
        <w:rPr>
          <w:rFonts w:eastAsia="Times New Roman" w:cs="Tahoma"/>
          <w:color w:val="000000"/>
          <w:szCs w:val="20"/>
        </w:rPr>
        <w:t xml:space="preserve">Through the implementation of the </w:t>
      </w:r>
      <w:r w:rsidR="00881D89">
        <w:rPr>
          <w:rFonts w:eastAsia="Times New Roman" w:cs="Tahoma"/>
          <w:color w:val="000000"/>
          <w:szCs w:val="20"/>
        </w:rPr>
        <w:t xml:space="preserve">member </w:t>
      </w:r>
      <w:r w:rsidR="006D5E98" w:rsidRPr="00E46948">
        <w:rPr>
          <w:rFonts w:eastAsia="Times New Roman" w:cs="Times New Roman"/>
          <w:color w:val="auto"/>
          <w:szCs w:val="20"/>
        </w:rPr>
        <w:t>district</w:t>
      </w:r>
      <w:r w:rsidRPr="004D3B92">
        <w:rPr>
          <w:rFonts w:eastAsia="Times New Roman" w:cs="Tahoma"/>
          <w:color w:val="000000"/>
          <w:szCs w:val="20"/>
        </w:rPr>
        <w:t xml:space="preserve"> policies and procedures as outlined in the </w:t>
      </w:r>
      <w:hyperlink r:id="rId12" w:history="1">
        <w:r w:rsidRPr="00C6562F">
          <w:rPr>
            <w:rStyle w:val="Hyperlink"/>
            <w:rFonts w:eastAsia="Times New Roman" w:cs="Times New Roman"/>
            <w:szCs w:val="20"/>
          </w:rPr>
          <w:t>Legal Framework</w:t>
        </w:r>
      </w:hyperlink>
      <w:r w:rsidRPr="004D3B92">
        <w:rPr>
          <w:rFonts w:eastAsia="Times New Roman" w:cs="Tahoma"/>
          <w:color w:val="000000"/>
          <w:szCs w:val="20"/>
        </w:rPr>
        <w:t xml:space="preserve"> for the Child-Centered Special Education Process, the </w:t>
      </w:r>
      <w:r w:rsidR="00881D89">
        <w:rPr>
          <w:rFonts w:eastAsia="Times New Roman" w:cs="Tahoma"/>
          <w:color w:val="000000"/>
          <w:szCs w:val="20"/>
        </w:rPr>
        <w:t xml:space="preserve">member </w:t>
      </w:r>
      <w:r w:rsidR="00E46948" w:rsidRPr="00E46948">
        <w:rPr>
          <w:rFonts w:eastAsia="Times New Roman" w:cs="Times New Roman"/>
          <w:color w:val="auto"/>
          <w:szCs w:val="20"/>
        </w:rPr>
        <w:t>district</w:t>
      </w:r>
      <w:r w:rsidRPr="004D3B92">
        <w:rPr>
          <w:rFonts w:eastAsia="Times New Roman" w:cs="Tahoma"/>
          <w:color w:val="000000"/>
          <w:szCs w:val="20"/>
        </w:rPr>
        <w:t xml:space="preserve"> ensures that an </w:t>
      </w:r>
      <w:r>
        <w:rPr>
          <w:rFonts w:eastAsia="Times New Roman" w:cs="Tahoma"/>
          <w:color w:val="000000"/>
          <w:szCs w:val="20"/>
        </w:rPr>
        <w:t>admission, review, and dismissal (</w:t>
      </w:r>
      <w:r w:rsidRPr="004D3B92">
        <w:rPr>
          <w:rFonts w:eastAsia="Times New Roman" w:cs="Tahoma"/>
          <w:color w:val="000000"/>
          <w:szCs w:val="20"/>
        </w:rPr>
        <w:t>ARD</w:t>
      </w:r>
      <w:r>
        <w:rPr>
          <w:rFonts w:eastAsia="Times New Roman" w:cs="Tahoma"/>
          <w:color w:val="000000"/>
          <w:szCs w:val="20"/>
        </w:rPr>
        <w:t>)</w:t>
      </w:r>
      <w:r w:rsidRPr="004D3B92">
        <w:rPr>
          <w:rFonts w:eastAsia="Times New Roman" w:cs="Tahoma"/>
          <w:color w:val="000000"/>
          <w:szCs w:val="20"/>
        </w:rPr>
        <w:t xml:space="preserve"> committee is established for each child for whom a full and individual evaluation has been conducted and each eligible child with a disability.  The IEP developed through the ARD process must conform to the requirements by the IDEA and its accompanying federal regulations, state statutes and regulations.</w:t>
      </w:r>
    </w:p>
    <w:p w14:paraId="6F9EE8D7" w14:textId="77777777" w:rsidR="00E21132" w:rsidRPr="002045E8" w:rsidRDefault="00E21132" w:rsidP="006E3F0A">
      <w:pPr>
        <w:spacing w:after="0" w:line="240" w:lineRule="auto"/>
        <w:jc w:val="both"/>
        <w:rPr>
          <w:rFonts w:eastAsia="Times New Roman" w:cs="Times New Roman"/>
          <w:color w:val="auto"/>
          <w:szCs w:val="20"/>
        </w:rPr>
      </w:pPr>
    </w:p>
    <w:p w14:paraId="3E577C7D" w14:textId="77777777" w:rsidR="00DB231F" w:rsidRDefault="002F41D6" w:rsidP="009415A3">
      <w:pPr>
        <w:spacing w:after="0" w:line="240" w:lineRule="auto"/>
        <w:rPr>
          <w:szCs w:val="20"/>
        </w:rPr>
      </w:pPr>
      <w:r>
        <w:rPr>
          <w:szCs w:val="20"/>
        </w:rPr>
        <w:pict w14:anchorId="743DFDE1">
          <v:rect id="_x0000_i1025" style="width:468pt;height:3pt" o:hralign="center" o:hrstd="t" o:hrnoshade="t" o:hr="t" fillcolor="#0f3966 [3204]" stroked="f"/>
        </w:pict>
      </w:r>
    </w:p>
    <w:p w14:paraId="3A33F172" w14:textId="77777777" w:rsidR="00C94E8F" w:rsidRPr="00643FFC" w:rsidRDefault="00C94E8F" w:rsidP="00C94E8F">
      <w:pPr>
        <w:spacing w:after="0" w:line="240" w:lineRule="auto"/>
        <w:rPr>
          <w:rFonts w:ascii="Calibri" w:eastAsia="Times New Roman" w:hAnsi="Calibri" w:cs="Calibri"/>
          <w:color w:val="auto"/>
          <w:sz w:val="24"/>
        </w:rPr>
      </w:pPr>
      <w:r w:rsidRPr="00643FFC">
        <w:rPr>
          <w:rFonts w:ascii="Calibri" w:eastAsia="Times New Roman" w:hAnsi="Calibri" w:cs="Calibri"/>
          <w:iCs/>
          <w:color w:val="auto"/>
          <w:sz w:val="24"/>
          <w:shd w:val="clear" w:color="auto" w:fill="FFFFFF"/>
        </w:rPr>
        <w:t>The school district will establish an admission, review, and dismissal (ARD) committee for each student who is to be considered for eligibility or already eligible for special education under current state and federal regulations. The ARD committee in Texas is the IEP team that is defined in federal regulations (CFR §300.321).</w:t>
      </w:r>
    </w:p>
    <w:p w14:paraId="69ED1153" w14:textId="77777777" w:rsidR="00643FFC" w:rsidRPr="00643FFC" w:rsidRDefault="00C94E8F" w:rsidP="00643FFC">
      <w:pPr>
        <w:shd w:val="clear" w:color="auto" w:fill="FFFFFF"/>
        <w:spacing w:after="0" w:line="240" w:lineRule="auto"/>
        <w:rPr>
          <w:rFonts w:ascii="Calibri" w:eastAsia="Times New Roman" w:hAnsi="Calibri" w:cs="Calibri"/>
          <w:iCs/>
          <w:color w:val="auto"/>
          <w:sz w:val="24"/>
        </w:rPr>
      </w:pPr>
      <w:r w:rsidRPr="00643FFC">
        <w:rPr>
          <w:rFonts w:ascii="Calibri" w:eastAsia="Times New Roman" w:hAnsi="Calibri" w:cs="Calibri"/>
          <w:iCs/>
          <w:color w:val="auto"/>
          <w:sz w:val="24"/>
        </w:rPr>
        <w:t xml:space="preserve">An IEP will be developed for each child with a disability in the district who meets the state and federal guidelines for special education eligibility. The IEP (or IFSP for </w:t>
      </w:r>
      <w:proofErr w:type="gramStart"/>
      <w:r w:rsidRPr="00643FFC">
        <w:rPr>
          <w:rFonts w:ascii="Calibri" w:eastAsia="Times New Roman" w:hAnsi="Calibri" w:cs="Calibri"/>
          <w:iCs/>
          <w:color w:val="auto"/>
          <w:sz w:val="24"/>
        </w:rPr>
        <w:t>students</w:t>
      </w:r>
      <w:proofErr w:type="gramEnd"/>
      <w:r w:rsidRPr="00643FFC">
        <w:rPr>
          <w:rFonts w:ascii="Calibri" w:eastAsia="Times New Roman" w:hAnsi="Calibri" w:cs="Calibri"/>
          <w:iCs/>
          <w:color w:val="auto"/>
          <w:sz w:val="24"/>
        </w:rPr>
        <w:t xml:space="preserve"> birth through two years of age with a visual and/or auditory impairment) will be in effect at the beginning of each school year and reviewed no less than on an annual basis. Each IEP will contain all the components required in state and federal regulations.</w:t>
      </w:r>
    </w:p>
    <w:p w14:paraId="1154EAF9" w14:textId="46BE9C3B" w:rsidR="00E22816" w:rsidRPr="00643FFC" w:rsidRDefault="00FA1E35" w:rsidP="00643FFC">
      <w:pPr>
        <w:shd w:val="clear" w:color="auto" w:fill="FFFFFF"/>
        <w:spacing w:after="0" w:line="240" w:lineRule="auto"/>
        <w:rPr>
          <w:rFonts w:ascii="Calibri" w:hAnsi="Calibri" w:cs="Calibri"/>
          <w:iCs/>
          <w:color w:val="auto"/>
          <w:sz w:val="24"/>
        </w:rPr>
      </w:pPr>
      <w:r w:rsidRPr="00643FFC">
        <w:rPr>
          <w:rFonts w:ascii="Calibri" w:eastAsia="Times New Roman" w:hAnsi="Calibri" w:cs="Calibri"/>
          <w:iCs/>
          <w:color w:val="auto"/>
          <w:sz w:val="24"/>
        </w:rPr>
        <w:t xml:space="preserve">All appropriate district forms will be used to document the meeting and decisions. </w:t>
      </w:r>
    </w:p>
    <w:p w14:paraId="7D79C670" w14:textId="024E67F2" w:rsidR="00E4674E" w:rsidRPr="00B81CA9" w:rsidRDefault="00E22816" w:rsidP="00881D89">
      <w:pPr>
        <w:shd w:val="clear" w:color="auto" w:fill="FFFFFF"/>
        <w:spacing w:after="0"/>
        <w:rPr>
          <w:rFonts w:ascii="Calibri" w:hAnsi="Calibri" w:cs="Calibri"/>
          <w:b/>
          <w:color w:val="auto"/>
          <w:sz w:val="24"/>
        </w:rPr>
      </w:pPr>
      <w:r w:rsidRPr="00643FFC">
        <w:rPr>
          <w:rFonts w:ascii="Calibri" w:hAnsi="Calibri" w:cs="Calibri"/>
          <w:iCs/>
          <w:color w:val="auto"/>
          <w:sz w:val="24"/>
        </w:rPr>
        <w:t> </w:t>
      </w:r>
      <w:r w:rsidR="00FA1E35" w:rsidRPr="00FA1E35">
        <w:rPr>
          <w:rFonts w:ascii="Times New Roman" w:eastAsia="Times New Roman" w:hAnsi="Times New Roman" w:cs="Times New Roman"/>
          <w:i/>
          <w:iCs/>
          <w:color w:val="0000FF"/>
          <w:sz w:val="22"/>
          <w:szCs w:val="22"/>
        </w:rPr>
        <w:br/>
      </w:r>
      <w:r w:rsidR="00E4674E" w:rsidRPr="00B81CA9">
        <w:rPr>
          <w:rFonts w:ascii="Calibri" w:eastAsia="Times New Roman" w:hAnsi="Calibri" w:cs="Calibri"/>
          <w:i/>
          <w:iCs/>
          <w:color w:val="0000FF"/>
          <w:sz w:val="24"/>
          <w:shd w:val="clear" w:color="auto" w:fill="FFFFFF"/>
        </w:rPr>
        <w:t> </w:t>
      </w:r>
      <w:r w:rsidR="00E4674E" w:rsidRPr="00B81CA9">
        <w:rPr>
          <w:rFonts w:ascii="Calibri" w:hAnsi="Calibri" w:cs="Calibri"/>
          <w:b/>
          <w:bCs/>
          <w:color w:val="auto"/>
          <w:sz w:val="24"/>
        </w:rPr>
        <w:t>S</w:t>
      </w:r>
      <w:r w:rsidR="00881D89">
        <w:rPr>
          <w:rFonts w:ascii="Calibri" w:hAnsi="Calibri" w:cs="Calibri"/>
          <w:b/>
          <w:bCs/>
          <w:color w:val="auto"/>
          <w:sz w:val="24"/>
        </w:rPr>
        <w:t>taff Responsible</w:t>
      </w:r>
      <w:r w:rsidR="00E4674E" w:rsidRPr="00B81CA9">
        <w:rPr>
          <w:rFonts w:ascii="Calibri" w:hAnsi="Calibri" w:cs="Calibri"/>
          <w:b/>
          <w:color w:val="auto"/>
          <w:sz w:val="24"/>
        </w:rPr>
        <w:t xml:space="preserve">:  </w:t>
      </w:r>
    </w:p>
    <w:p w14:paraId="43BEBB63" w14:textId="77777777" w:rsidR="00E4674E" w:rsidRPr="00B81CA9" w:rsidRDefault="00E4674E" w:rsidP="00E4674E">
      <w:pPr>
        <w:spacing w:after="120" w:line="240" w:lineRule="auto"/>
        <w:ind w:firstLine="720"/>
        <w:contextualSpacing/>
        <w:rPr>
          <w:rFonts w:ascii="Calibri" w:hAnsi="Calibri" w:cs="Calibri"/>
          <w:color w:val="auto"/>
          <w:sz w:val="24"/>
        </w:rPr>
      </w:pPr>
      <w:r w:rsidRPr="00B81CA9">
        <w:rPr>
          <w:rFonts w:ascii="Calibri" w:hAnsi="Calibri" w:cs="Calibri"/>
          <w:b/>
          <w:color w:val="auto"/>
          <w:sz w:val="24"/>
        </w:rPr>
        <w:t xml:space="preserve">District Level: </w:t>
      </w:r>
      <w:r w:rsidRPr="00B81CA9">
        <w:rPr>
          <w:rFonts w:ascii="Calibri" w:hAnsi="Calibri" w:cs="Calibri"/>
          <w:color w:val="auto"/>
          <w:sz w:val="24"/>
        </w:rPr>
        <w:t>Special Education Director</w:t>
      </w:r>
    </w:p>
    <w:p w14:paraId="072792D2" w14:textId="77777777" w:rsidR="00E4674E" w:rsidRPr="00B81CA9" w:rsidRDefault="00E4674E" w:rsidP="00E4674E">
      <w:pPr>
        <w:spacing w:after="120" w:line="240" w:lineRule="auto"/>
        <w:ind w:left="720"/>
        <w:contextualSpacing/>
        <w:rPr>
          <w:rFonts w:ascii="Calibri" w:hAnsi="Calibri" w:cs="Calibri"/>
          <w:color w:val="auto"/>
          <w:sz w:val="24"/>
        </w:rPr>
      </w:pPr>
      <w:r w:rsidRPr="00B81CA9">
        <w:rPr>
          <w:rFonts w:ascii="Calibri" w:hAnsi="Calibri" w:cs="Calibri"/>
          <w:b/>
          <w:color w:val="auto"/>
          <w:sz w:val="24"/>
        </w:rPr>
        <w:t>Campus Level:</w:t>
      </w:r>
      <w:r w:rsidRPr="00B81CA9">
        <w:rPr>
          <w:rFonts w:ascii="Calibri" w:hAnsi="Calibri" w:cs="Calibri"/>
          <w:color w:val="auto"/>
          <w:sz w:val="24"/>
        </w:rPr>
        <w:t xml:space="preserve"> Diagnostician/LSSP, Principal, General Education Teacher, Special Education Teacher, Related Service Staff, Speech Language Pathologist </w:t>
      </w:r>
    </w:p>
    <w:p w14:paraId="14382B34" w14:textId="77777777" w:rsidR="00E4674E" w:rsidRPr="00B81CA9" w:rsidRDefault="00E4674E" w:rsidP="00E4674E">
      <w:pPr>
        <w:spacing w:after="0" w:line="240" w:lineRule="auto"/>
        <w:jc w:val="both"/>
        <w:rPr>
          <w:rFonts w:ascii="Calibri" w:hAnsi="Calibri" w:cs="Calibri"/>
          <w:color w:val="auto"/>
          <w:sz w:val="24"/>
        </w:rPr>
      </w:pPr>
    </w:p>
    <w:p w14:paraId="49DE241C" w14:textId="6C6ED60A" w:rsidR="00E4674E" w:rsidRPr="00B81CA9" w:rsidRDefault="00881D89" w:rsidP="00881D89">
      <w:pPr>
        <w:spacing w:after="0" w:line="240" w:lineRule="auto"/>
        <w:jc w:val="both"/>
        <w:rPr>
          <w:rFonts w:ascii="Calibri" w:hAnsi="Calibri" w:cs="Calibri"/>
          <w:b/>
          <w:color w:val="auto"/>
          <w:sz w:val="24"/>
        </w:rPr>
      </w:pPr>
      <w:r>
        <w:rPr>
          <w:rFonts w:ascii="Calibri" w:hAnsi="Calibri" w:cs="Calibri"/>
          <w:b/>
          <w:color w:val="auto"/>
          <w:sz w:val="24"/>
        </w:rPr>
        <w:t>Timelines</w:t>
      </w:r>
      <w:r w:rsidR="00E4674E" w:rsidRPr="00B81CA9">
        <w:rPr>
          <w:rFonts w:ascii="Calibri" w:hAnsi="Calibri" w:cs="Calibri"/>
          <w:b/>
          <w:color w:val="auto"/>
          <w:sz w:val="24"/>
        </w:rPr>
        <w:t>:</w:t>
      </w:r>
    </w:p>
    <w:p w14:paraId="6A1C252E" w14:textId="77777777" w:rsidR="00E4674E" w:rsidRPr="00B81CA9" w:rsidRDefault="00E4674E" w:rsidP="00E4674E">
      <w:pPr>
        <w:pStyle w:val="ListParagraph"/>
        <w:numPr>
          <w:ilvl w:val="0"/>
          <w:numId w:val="32"/>
        </w:numPr>
        <w:spacing w:after="120" w:line="240" w:lineRule="auto"/>
        <w:jc w:val="both"/>
        <w:rPr>
          <w:rFonts w:ascii="Calibri" w:hAnsi="Calibri" w:cs="Calibri"/>
          <w:color w:val="auto"/>
          <w:sz w:val="24"/>
        </w:rPr>
      </w:pPr>
      <w:r w:rsidRPr="00B81CA9">
        <w:rPr>
          <w:rFonts w:ascii="Calibri" w:hAnsi="Calibri" w:cs="Calibri"/>
          <w:color w:val="auto"/>
          <w:sz w:val="24"/>
        </w:rPr>
        <w:lastRenderedPageBreak/>
        <w:t>Initial ARD meetings-</w:t>
      </w:r>
      <w:r w:rsidRPr="00B81CA9">
        <w:rPr>
          <w:rFonts w:ascii="Calibri" w:hAnsi="Calibri" w:cs="Calibri"/>
          <w:bCs/>
          <w:color w:val="000000"/>
          <w:sz w:val="24"/>
          <w:shd w:val="clear" w:color="auto" w:fill="FFFFFF"/>
        </w:rPr>
        <w:t xml:space="preserve"> within 30-days of a determination that the child needs special education and related services.</w:t>
      </w:r>
      <w:r w:rsidRPr="00B81CA9">
        <w:rPr>
          <w:rFonts w:ascii="Calibri" w:hAnsi="Calibri" w:cs="Calibri"/>
          <w:color w:val="auto"/>
          <w:sz w:val="24"/>
        </w:rPr>
        <w:t xml:space="preserve"> </w:t>
      </w:r>
    </w:p>
    <w:p w14:paraId="54CB3BD6" w14:textId="77777777" w:rsidR="00E4674E" w:rsidRPr="00B81CA9" w:rsidRDefault="00E4674E" w:rsidP="00E4674E">
      <w:pPr>
        <w:pStyle w:val="ListParagraph"/>
        <w:numPr>
          <w:ilvl w:val="0"/>
          <w:numId w:val="32"/>
        </w:numPr>
        <w:spacing w:after="120" w:line="240" w:lineRule="auto"/>
        <w:jc w:val="both"/>
        <w:rPr>
          <w:rFonts w:ascii="Calibri" w:hAnsi="Calibri" w:cs="Calibri"/>
          <w:color w:val="auto"/>
          <w:sz w:val="24"/>
        </w:rPr>
      </w:pPr>
      <w:r w:rsidRPr="00B81CA9">
        <w:rPr>
          <w:rFonts w:ascii="Calibri" w:hAnsi="Calibri" w:cs="Calibri"/>
          <w:color w:val="auto"/>
          <w:sz w:val="24"/>
        </w:rPr>
        <w:t>Annual Review ARD meetings-</w:t>
      </w:r>
      <w:r w:rsidRPr="00B81CA9">
        <w:rPr>
          <w:rFonts w:ascii="Calibri" w:hAnsi="Calibri" w:cs="Calibri"/>
          <w:iCs/>
          <w:color w:val="auto"/>
          <w:sz w:val="24"/>
          <w:shd w:val="clear" w:color="auto" w:fill="FFFFFF"/>
        </w:rPr>
        <w:t xml:space="preserve"> prior to the 12-month anniversary date. </w:t>
      </w:r>
    </w:p>
    <w:p w14:paraId="13C370B0" w14:textId="77777777" w:rsidR="00E4674E" w:rsidRPr="00B81CA9" w:rsidRDefault="00E4674E" w:rsidP="00E4674E">
      <w:pPr>
        <w:pStyle w:val="ListParagraph"/>
        <w:numPr>
          <w:ilvl w:val="0"/>
          <w:numId w:val="32"/>
        </w:numPr>
        <w:spacing w:after="120" w:line="240" w:lineRule="auto"/>
        <w:jc w:val="both"/>
        <w:rPr>
          <w:rFonts w:ascii="Calibri" w:hAnsi="Calibri" w:cs="Calibri"/>
          <w:color w:val="auto"/>
          <w:sz w:val="24"/>
        </w:rPr>
      </w:pPr>
      <w:r w:rsidRPr="00B81CA9">
        <w:rPr>
          <w:rFonts w:ascii="Calibri" w:hAnsi="Calibri" w:cs="Calibri"/>
          <w:color w:val="auto"/>
          <w:sz w:val="24"/>
        </w:rPr>
        <w:t xml:space="preserve">Transfer ARD meetings-within </w:t>
      </w:r>
      <w:r w:rsidRPr="00B81CA9">
        <w:rPr>
          <w:rFonts w:ascii="Calibri" w:hAnsi="Calibri" w:cs="Calibri"/>
          <w:color w:val="000000"/>
          <w:sz w:val="24"/>
          <w:shd w:val="clear" w:color="auto" w:fill="FFFFFF"/>
        </w:rPr>
        <w:t>30 school days from the date the student is verified as being a student eligible for special education services.</w:t>
      </w:r>
    </w:p>
    <w:p w14:paraId="4BC6D1A6" w14:textId="77777777" w:rsidR="00E4674E" w:rsidRPr="00B81CA9" w:rsidRDefault="00E4674E" w:rsidP="00E4674E">
      <w:pPr>
        <w:pStyle w:val="ListParagraph"/>
        <w:spacing w:after="120" w:line="240" w:lineRule="auto"/>
        <w:ind w:left="1152"/>
        <w:jc w:val="both"/>
        <w:rPr>
          <w:rFonts w:ascii="Calibri" w:hAnsi="Calibri" w:cs="Calibri"/>
          <w:color w:val="auto"/>
          <w:sz w:val="24"/>
        </w:rPr>
      </w:pPr>
    </w:p>
    <w:p w14:paraId="2565B29C" w14:textId="397CF4BE" w:rsidR="00E4674E" w:rsidRPr="00B81CA9" w:rsidRDefault="00E4674E" w:rsidP="00881D89">
      <w:pPr>
        <w:spacing w:after="0" w:line="240" w:lineRule="auto"/>
        <w:jc w:val="both"/>
        <w:rPr>
          <w:rFonts w:ascii="Calibri" w:hAnsi="Calibri" w:cs="Calibri"/>
          <w:color w:val="auto"/>
          <w:sz w:val="24"/>
        </w:rPr>
      </w:pPr>
      <w:r w:rsidRPr="00B81CA9">
        <w:rPr>
          <w:rFonts w:ascii="Calibri" w:hAnsi="Calibri" w:cs="Calibri"/>
          <w:b/>
          <w:color w:val="auto"/>
          <w:sz w:val="24"/>
        </w:rPr>
        <w:t>E</w:t>
      </w:r>
      <w:r w:rsidR="00881D89">
        <w:rPr>
          <w:rFonts w:ascii="Calibri" w:hAnsi="Calibri" w:cs="Calibri"/>
          <w:b/>
          <w:color w:val="auto"/>
          <w:sz w:val="24"/>
        </w:rPr>
        <w:t>vidence of Practice</w:t>
      </w:r>
      <w:r w:rsidRPr="00B81CA9">
        <w:rPr>
          <w:rFonts w:ascii="Calibri" w:hAnsi="Calibri" w:cs="Calibri"/>
          <w:b/>
          <w:color w:val="auto"/>
          <w:sz w:val="24"/>
        </w:rPr>
        <w:t xml:space="preserve">: </w:t>
      </w:r>
    </w:p>
    <w:p w14:paraId="4981D453" w14:textId="77777777" w:rsidR="00E4674E" w:rsidRPr="00B81CA9" w:rsidRDefault="00E4674E" w:rsidP="00E4674E">
      <w:pPr>
        <w:pStyle w:val="ListParagraph"/>
        <w:numPr>
          <w:ilvl w:val="0"/>
          <w:numId w:val="32"/>
        </w:numPr>
        <w:spacing w:after="120" w:line="240" w:lineRule="auto"/>
        <w:jc w:val="both"/>
        <w:rPr>
          <w:rFonts w:ascii="Calibri" w:hAnsi="Calibri" w:cs="Calibri"/>
          <w:color w:val="auto"/>
          <w:sz w:val="24"/>
        </w:rPr>
      </w:pPr>
      <w:r w:rsidRPr="00B81CA9">
        <w:rPr>
          <w:rFonts w:ascii="Calibri" w:hAnsi="Calibri" w:cs="Calibri"/>
          <w:color w:val="auto"/>
          <w:sz w:val="24"/>
        </w:rPr>
        <w:t>Training artifacts (presentation handouts, sign-in sheets, etc.)</w:t>
      </w:r>
    </w:p>
    <w:p w14:paraId="14BB6333" w14:textId="77777777" w:rsidR="00E4674E" w:rsidRPr="00C6168A" w:rsidRDefault="00E4674E" w:rsidP="00E4674E">
      <w:pPr>
        <w:pStyle w:val="ListParagraph"/>
        <w:numPr>
          <w:ilvl w:val="0"/>
          <w:numId w:val="32"/>
        </w:numPr>
        <w:spacing w:after="120" w:line="240" w:lineRule="auto"/>
        <w:jc w:val="both"/>
        <w:rPr>
          <w:rFonts w:ascii="Calibri" w:hAnsi="Calibri" w:cs="Calibri"/>
          <w:color w:val="auto"/>
          <w:sz w:val="24"/>
        </w:rPr>
      </w:pPr>
      <w:r w:rsidRPr="00C6168A">
        <w:rPr>
          <w:rFonts w:ascii="Calibri" w:hAnsi="Calibri" w:cs="Calibri"/>
          <w:color w:val="auto"/>
          <w:sz w:val="24"/>
        </w:rPr>
        <w:t>Forms or checklists used in IEP implementation (including software)</w:t>
      </w:r>
    </w:p>
    <w:p w14:paraId="73D95658" w14:textId="77777777" w:rsidR="00E4674E" w:rsidRPr="00C6168A" w:rsidRDefault="00E4674E" w:rsidP="00E4674E">
      <w:pPr>
        <w:pStyle w:val="ListParagraph"/>
        <w:numPr>
          <w:ilvl w:val="0"/>
          <w:numId w:val="32"/>
        </w:numPr>
        <w:spacing w:after="0" w:line="240" w:lineRule="auto"/>
        <w:jc w:val="both"/>
        <w:rPr>
          <w:rFonts w:ascii="Calibri" w:hAnsi="Calibri" w:cs="Calibri"/>
          <w:color w:val="auto"/>
          <w:sz w:val="24"/>
        </w:rPr>
      </w:pPr>
      <w:r w:rsidRPr="00C6168A">
        <w:rPr>
          <w:rFonts w:ascii="Calibri" w:hAnsi="Calibri" w:cs="Calibri"/>
          <w:color w:val="auto"/>
          <w:sz w:val="24"/>
        </w:rPr>
        <w:t>Documentation of ARD committee meetings</w:t>
      </w:r>
    </w:p>
    <w:p w14:paraId="69A05CC7" w14:textId="52896F25" w:rsidR="00A42A31" w:rsidRPr="00A42A31" w:rsidRDefault="00A42A31" w:rsidP="00E4674E">
      <w:pPr>
        <w:spacing w:after="120" w:line="240" w:lineRule="auto"/>
        <w:rPr>
          <w:color w:val="000000" w:themeColor="text1"/>
          <w:szCs w:val="20"/>
        </w:rPr>
      </w:pPr>
    </w:p>
    <w:sectPr w:rsidR="00A42A31" w:rsidRPr="00A42A31" w:rsidSect="00A15E59">
      <w:headerReference w:type="even" r:id="rId13"/>
      <w:headerReference w:type="default" r:id="rId14"/>
      <w:footerReference w:type="even" r:id="rId15"/>
      <w:footerReference w:type="default" r:id="rId16"/>
      <w:headerReference w:type="first" r:id="rId17"/>
      <w:footerReference w:type="first" r:id="rId18"/>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49281" w14:textId="77777777" w:rsidR="002F41D6" w:rsidRDefault="002F41D6">
      <w:pPr>
        <w:spacing w:after="0" w:line="240" w:lineRule="auto"/>
      </w:pPr>
      <w:r>
        <w:separator/>
      </w:r>
    </w:p>
  </w:endnote>
  <w:endnote w:type="continuationSeparator" w:id="0">
    <w:p w14:paraId="5B29E7EB" w14:textId="77777777" w:rsidR="002F41D6" w:rsidRDefault="002F4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ECC0A" w14:textId="77777777" w:rsidR="001A3789" w:rsidRDefault="001A3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86"/>
      <w:gridCol w:w="6074"/>
    </w:tblGrid>
    <w:tr w:rsidR="00A15E59" w:rsidRPr="00CD22C5" w14:paraId="09F7E192" w14:textId="77777777" w:rsidTr="007A30FA">
      <w:trPr>
        <w:jc w:val="center"/>
      </w:trPr>
      <w:tc>
        <w:tcPr>
          <w:tcW w:w="3348" w:type="dxa"/>
          <w:vAlign w:val="center"/>
        </w:tcPr>
        <w:p w14:paraId="2722D874" w14:textId="07F17E2C"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B65A7E">
            <w:rPr>
              <w:b w:val="0"/>
              <w:sz w:val="16"/>
              <w:szCs w:val="16"/>
            </w:rPr>
            <w:t>Procedures</w:t>
          </w:r>
        </w:p>
      </w:tc>
      <w:tc>
        <w:tcPr>
          <w:tcW w:w="6228" w:type="dxa"/>
          <w:vAlign w:val="center"/>
        </w:tcPr>
        <w:p w14:paraId="7ED69AA6" w14:textId="77777777" w:rsidR="00A15E59" w:rsidRPr="009A1B8F" w:rsidRDefault="00333AEA" w:rsidP="00333AEA">
          <w:pPr>
            <w:pStyle w:val="Footer"/>
            <w:tabs>
              <w:tab w:val="left" w:pos="1260"/>
            </w:tabs>
            <w:jc w:val="right"/>
            <w:rPr>
              <w:sz w:val="16"/>
              <w:szCs w:val="16"/>
            </w:rPr>
          </w:pPr>
          <w:r>
            <w:rPr>
              <w:sz w:val="16"/>
              <w:szCs w:val="16"/>
            </w:rPr>
            <w:t>RULE OF CONSTRUCTION</w:t>
          </w:r>
        </w:p>
      </w:tc>
    </w:tr>
    <w:tr w:rsidR="00A15E59" w:rsidRPr="00CD22C5" w14:paraId="548AE0E5" w14:textId="77777777" w:rsidTr="007A30FA">
      <w:trPr>
        <w:jc w:val="center"/>
      </w:trPr>
      <w:tc>
        <w:tcPr>
          <w:tcW w:w="3348" w:type="dxa"/>
          <w:vAlign w:val="center"/>
        </w:tcPr>
        <w:p w14:paraId="05955CE8" w14:textId="3D3639FC"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1A3789">
            <w:rPr>
              <w:b w:val="0"/>
              <w:sz w:val="16"/>
              <w:szCs w:val="16"/>
              <w:highlight w:val="lightGray"/>
            </w:rPr>
            <w:t>10/2025</w:t>
          </w:r>
          <w:bookmarkStart w:id="0" w:name="_GoBack"/>
          <w:bookmarkEnd w:id="0"/>
        </w:p>
      </w:tc>
      <w:tc>
        <w:tcPr>
          <w:tcW w:w="6228" w:type="dxa"/>
          <w:vAlign w:val="center"/>
        </w:tcPr>
        <w:p w14:paraId="4E19F2F8"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1D1CD4">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1D1CD4">
            <w:rPr>
              <w:b w:val="0"/>
              <w:noProof/>
              <w:sz w:val="16"/>
              <w:szCs w:val="16"/>
            </w:rPr>
            <w:t>1</w:t>
          </w:r>
          <w:r w:rsidRPr="00CD22C5">
            <w:rPr>
              <w:b w:val="0"/>
              <w:sz w:val="16"/>
              <w:szCs w:val="16"/>
            </w:rPr>
            <w:fldChar w:fldCharType="end"/>
          </w:r>
        </w:p>
      </w:tc>
    </w:tr>
  </w:tbl>
  <w:p w14:paraId="6EE291FF"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693BC1C2" w14:textId="77777777" w:rsidTr="00CD22C5">
      <w:tc>
        <w:tcPr>
          <w:tcW w:w="4338" w:type="dxa"/>
          <w:vAlign w:val="center"/>
        </w:tcPr>
        <w:p w14:paraId="48ECAF70"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3B1329EA"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2E89ECB8" w14:textId="77777777" w:rsidTr="00CD22C5">
      <w:tc>
        <w:tcPr>
          <w:tcW w:w="4338" w:type="dxa"/>
          <w:vAlign w:val="center"/>
        </w:tcPr>
        <w:p w14:paraId="348521D1"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726F2FCE"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4D3B92">
            <w:rPr>
              <w:b w:val="0"/>
              <w:noProof/>
              <w:sz w:val="16"/>
              <w:szCs w:val="16"/>
            </w:rPr>
            <w:t>1</w:t>
          </w:r>
          <w:r w:rsidRPr="00CD22C5">
            <w:rPr>
              <w:b w:val="0"/>
              <w:sz w:val="16"/>
              <w:szCs w:val="16"/>
            </w:rPr>
            <w:fldChar w:fldCharType="end"/>
          </w:r>
        </w:p>
      </w:tc>
    </w:tr>
  </w:tbl>
  <w:p w14:paraId="7C4B247C"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C40CD" w14:textId="77777777" w:rsidR="002F41D6" w:rsidRDefault="002F41D6">
      <w:pPr>
        <w:spacing w:after="0" w:line="240" w:lineRule="auto"/>
      </w:pPr>
      <w:r>
        <w:separator/>
      </w:r>
    </w:p>
  </w:footnote>
  <w:footnote w:type="continuationSeparator" w:id="0">
    <w:p w14:paraId="75AB5D2F" w14:textId="77777777" w:rsidR="002F41D6" w:rsidRDefault="002F4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57A47" w14:textId="77777777" w:rsidR="001A3789" w:rsidRDefault="001A37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760B434C"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783DCDC0" w14:textId="77777777" w:rsidR="00A15E59" w:rsidRPr="00A15E59" w:rsidRDefault="00A15E59" w:rsidP="00A15E59">
          <w:pPr>
            <w:pStyle w:val="Header"/>
            <w:spacing w:before="0"/>
            <w:jc w:val="center"/>
            <w:rPr>
              <w:color w:val="0F3966" w:themeColor="accent1"/>
              <w:sz w:val="24"/>
            </w:rPr>
          </w:pPr>
          <w:r w:rsidRPr="00A15E59">
            <w:rPr>
              <w:sz w:val="24"/>
            </w:rPr>
            <w:t xml:space="preserve">OPERATING </w:t>
          </w:r>
          <w:r w:rsidR="00B65A7E">
            <w:rPr>
              <w:sz w:val="24"/>
            </w:rPr>
            <w:t>PROCEDURES</w:t>
          </w:r>
        </w:p>
      </w:tc>
    </w:tr>
    <w:tr w:rsidR="00A15E59" w:rsidRPr="00A15E59" w14:paraId="0A25FC0F"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2921A0E3" w14:textId="77777777" w:rsidR="00727C62" w:rsidRPr="00A15E59" w:rsidRDefault="00333AEA" w:rsidP="00333AEA">
          <w:pPr>
            <w:pStyle w:val="Header"/>
            <w:spacing w:before="0"/>
            <w:jc w:val="center"/>
            <w:rPr>
              <w:sz w:val="24"/>
            </w:rPr>
          </w:pPr>
          <w:r>
            <w:rPr>
              <w:sz w:val="24"/>
            </w:rPr>
            <w:t>RULE OF CONSTRUCTION</w:t>
          </w:r>
        </w:p>
      </w:tc>
    </w:tr>
    <w:tr w:rsidR="00A15E59" w:rsidRPr="00A15E59" w14:paraId="16F0BD1E"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6D498DA4" w14:textId="22B9BA1F" w:rsidR="00A15E59" w:rsidRDefault="00A15E59" w:rsidP="0017202D">
          <w:pPr>
            <w:pStyle w:val="Header"/>
            <w:spacing w:before="0"/>
            <w:jc w:val="left"/>
            <w:rPr>
              <w:b w:val="0"/>
            </w:rPr>
          </w:pPr>
        </w:p>
        <w:p w14:paraId="6E438BE3" w14:textId="78004F41" w:rsidR="00881D89" w:rsidRPr="00A15E59" w:rsidRDefault="00881D89" w:rsidP="0017202D">
          <w:pPr>
            <w:pStyle w:val="Header"/>
            <w:spacing w:before="0"/>
            <w:jc w:val="left"/>
          </w:pPr>
          <w:r>
            <w:t>Robertson County Special Services</w:t>
          </w:r>
        </w:p>
      </w:tc>
      <w:tc>
        <w:tcPr>
          <w:tcW w:w="1710" w:type="dxa"/>
          <w:vAlign w:val="center"/>
        </w:tcPr>
        <w:p w14:paraId="305A6566" w14:textId="57CE774B"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14:paraId="2C93F12E"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258C4" w14:textId="77777777" w:rsidR="001A3789" w:rsidRDefault="001A37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41F4059"/>
    <w:multiLevelType w:val="multilevel"/>
    <w:tmpl w:val="AA5AB4E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05BC2C04"/>
    <w:multiLevelType w:val="multilevel"/>
    <w:tmpl w:val="A89634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CB06476"/>
    <w:multiLevelType w:val="hybridMultilevel"/>
    <w:tmpl w:val="8E782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BA41CE"/>
    <w:multiLevelType w:val="hybridMultilevel"/>
    <w:tmpl w:val="8494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58B3452"/>
    <w:multiLevelType w:val="multilevel"/>
    <w:tmpl w:val="B72A6DD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19563CF5"/>
    <w:multiLevelType w:val="hybridMultilevel"/>
    <w:tmpl w:val="73C83A6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6" w15:restartNumberingAfterBreak="0">
    <w:nsid w:val="2562652E"/>
    <w:multiLevelType w:val="multilevel"/>
    <w:tmpl w:val="DB26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0A42EF"/>
    <w:multiLevelType w:val="hybridMultilevel"/>
    <w:tmpl w:val="E094167E"/>
    <w:lvl w:ilvl="0" w:tplc="A072D43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26529"/>
    <w:multiLevelType w:val="hybridMultilevel"/>
    <w:tmpl w:val="42FC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203C3"/>
    <w:multiLevelType w:val="multilevel"/>
    <w:tmpl w:val="07826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413824"/>
    <w:multiLevelType w:val="hybridMultilevel"/>
    <w:tmpl w:val="FA146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175E95"/>
    <w:multiLevelType w:val="hybridMultilevel"/>
    <w:tmpl w:val="1764DF7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45A167BB"/>
    <w:multiLevelType w:val="hybridMultilevel"/>
    <w:tmpl w:val="703C1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80700D"/>
    <w:multiLevelType w:val="multilevel"/>
    <w:tmpl w:val="D62C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667368"/>
    <w:multiLevelType w:val="multilevel"/>
    <w:tmpl w:val="4582E5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08B71B6"/>
    <w:multiLevelType w:val="hybridMultilevel"/>
    <w:tmpl w:val="2190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9B5616"/>
    <w:multiLevelType w:val="multilevel"/>
    <w:tmpl w:val="8EB8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CA66A5"/>
    <w:multiLevelType w:val="hybridMultilevel"/>
    <w:tmpl w:val="017426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3"/>
  </w:num>
  <w:num w:numId="14">
    <w:abstractNumId w:val="27"/>
  </w:num>
  <w:num w:numId="15">
    <w:abstractNumId w:val="18"/>
  </w:num>
  <w:num w:numId="16">
    <w:abstractNumId w:val="17"/>
  </w:num>
  <w:num w:numId="17">
    <w:abstractNumId w:val="12"/>
  </w:num>
  <w:num w:numId="18">
    <w:abstractNumId w:val="22"/>
  </w:num>
  <w:num w:numId="19">
    <w:abstractNumId w:val="15"/>
  </w:num>
  <w:num w:numId="20">
    <w:abstractNumId w:val="28"/>
  </w:num>
  <w:num w:numId="21">
    <w:abstractNumId w:val="25"/>
  </w:num>
  <w:num w:numId="22">
    <w:abstractNumId w:val="11"/>
  </w:num>
  <w:num w:numId="23">
    <w:abstractNumId w:val="19"/>
  </w:num>
  <w:num w:numId="24">
    <w:abstractNumId w:val="14"/>
  </w:num>
  <w:num w:numId="25">
    <w:abstractNumId w:val="9"/>
  </w:num>
  <w:num w:numId="26">
    <w:abstractNumId w:val="26"/>
  </w:num>
  <w:num w:numId="27">
    <w:abstractNumId w:val="16"/>
  </w:num>
  <w:num w:numId="28">
    <w:abstractNumId w:val="23"/>
  </w:num>
  <w:num w:numId="29">
    <w:abstractNumId w:val="24"/>
  </w:num>
  <w:num w:numId="30">
    <w:abstractNumId w:val="10"/>
  </w:num>
  <w:num w:numId="31">
    <w:abstractNumId w:val="2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26EFA"/>
    <w:rsid w:val="00027F91"/>
    <w:rsid w:val="000C084D"/>
    <w:rsid w:val="000C551A"/>
    <w:rsid w:val="0010401E"/>
    <w:rsid w:val="001345E6"/>
    <w:rsid w:val="00140EB8"/>
    <w:rsid w:val="0017202D"/>
    <w:rsid w:val="001926E0"/>
    <w:rsid w:val="001A3789"/>
    <w:rsid w:val="001C6AC8"/>
    <w:rsid w:val="001D1CD4"/>
    <w:rsid w:val="001E4ECB"/>
    <w:rsid w:val="001E67DB"/>
    <w:rsid w:val="002045E8"/>
    <w:rsid w:val="0020530F"/>
    <w:rsid w:val="00271990"/>
    <w:rsid w:val="00287E6A"/>
    <w:rsid w:val="002F41D6"/>
    <w:rsid w:val="003009D3"/>
    <w:rsid w:val="00333AEA"/>
    <w:rsid w:val="00374D60"/>
    <w:rsid w:val="003920EE"/>
    <w:rsid w:val="00426C23"/>
    <w:rsid w:val="00435838"/>
    <w:rsid w:val="00452D0C"/>
    <w:rsid w:val="00462709"/>
    <w:rsid w:val="00470F29"/>
    <w:rsid w:val="004C26A1"/>
    <w:rsid w:val="004D3B92"/>
    <w:rsid w:val="004E2A26"/>
    <w:rsid w:val="004F09A7"/>
    <w:rsid w:val="004F27C1"/>
    <w:rsid w:val="004F452C"/>
    <w:rsid w:val="00512E3A"/>
    <w:rsid w:val="005429F5"/>
    <w:rsid w:val="00582F89"/>
    <w:rsid w:val="005B4D80"/>
    <w:rsid w:val="005E2D0E"/>
    <w:rsid w:val="00603784"/>
    <w:rsid w:val="00633C11"/>
    <w:rsid w:val="006425F5"/>
    <w:rsid w:val="00643FFC"/>
    <w:rsid w:val="00672B10"/>
    <w:rsid w:val="006D5E98"/>
    <w:rsid w:val="006E3F0A"/>
    <w:rsid w:val="006E6B9B"/>
    <w:rsid w:val="00727C62"/>
    <w:rsid w:val="007A30FA"/>
    <w:rsid w:val="007D1DFC"/>
    <w:rsid w:val="007D5D41"/>
    <w:rsid w:val="00831F03"/>
    <w:rsid w:val="00850B01"/>
    <w:rsid w:val="00881D89"/>
    <w:rsid w:val="00884D94"/>
    <w:rsid w:val="00894CA1"/>
    <w:rsid w:val="008A6258"/>
    <w:rsid w:val="008B4399"/>
    <w:rsid w:val="008E1425"/>
    <w:rsid w:val="008F656D"/>
    <w:rsid w:val="00924B11"/>
    <w:rsid w:val="009415A3"/>
    <w:rsid w:val="00962988"/>
    <w:rsid w:val="00976E6E"/>
    <w:rsid w:val="00980EAE"/>
    <w:rsid w:val="009828F1"/>
    <w:rsid w:val="00996831"/>
    <w:rsid w:val="00A15E59"/>
    <w:rsid w:val="00A22B17"/>
    <w:rsid w:val="00A42A31"/>
    <w:rsid w:val="00AA0D55"/>
    <w:rsid w:val="00AE4242"/>
    <w:rsid w:val="00AF3511"/>
    <w:rsid w:val="00AF4B0B"/>
    <w:rsid w:val="00B65A7E"/>
    <w:rsid w:val="00BE4D54"/>
    <w:rsid w:val="00BF06FA"/>
    <w:rsid w:val="00C24BAB"/>
    <w:rsid w:val="00C2558A"/>
    <w:rsid w:val="00C52250"/>
    <w:rsid w:val="00C6562F"/>
    <w:rsid w:val="00C94E8F"/>
    <w:rsid w:val="00CA5C4C"/>
    <w:rsid w:val="00CD22C5"/>
    <w:rsid w:val="00CE235D"/>
    <w:rsid w:val="00CE5EEE"/>
    <w:rsid w:val="00D100AD"/>
    <w:rsid w:val="00D11216"/>
    <w:rsid w:val="00D45E93"/>
    <w:rsid w:val="00D46B8E"/>
    <w:rsid w:val="00D54A17"/>
    <w:rsid w:val="00D63FD3"/>
    <w:rsid w:val="00D87BD3"/>
    <w:rsid w:val="00DB231F"/>
    <w:rsid w:val="00DD0355"/>
    <w:rsid w:val="00DF5B9C"/>
    <w:rsid w:val="00E00450"/>
    <w:rsid w:val="00E009AB"/>
    <w:rsid w:val="00E01FA7"/>
    <w:rsid w:val="00E164D4"/>
    <w:rsid w:val="00E20AB4"/>
    <w:rsid w:val="00E21132"/>
    <w:rsid w:val="00E22816"/>
    <w:rsid w:val="00E30FC1"/>
    <w:rsid w:val="00E37D8B"/>
    <w:rsid w:val="00E4674E"/>
    <w:rsid w:val="00E46948"/>
    <w:rsid w:val="00E514A4"/>
    <w:rsid w:val="00E73801"/>
    <w:rsid w:val="00ED5C01"/>
    <w:rsid w:val="00EE1684"/>
    <w:rsid w:val="00EE1F1C"/>
    <w:rsid w:val="00F04CEA"/>
    <w:rsid w:val="00F11CFF"/>
    <w:rsid w:val="00F3292D"/>
    <w:rsid w:val="00F720D6"/>
    <w:rsid w:val="00F90F60"/>
    <w:rsid w:val="00FA1E35"/>
    <w:rsid w:val="00FB14D2"/>
    <w:rsid w:val="00FC4DAA"/>
    <w:rsid w:val="00FC6D50"/>
    <w:rsid w:val="00FD7CB6"/>
    <w:rsid w:val="00FE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CA5B0"/>
  <w15:docId w15:val="{F1BDD124-672D-4FD1-B16D-EE5B5D13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6E0"/>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paragraph" w:styleId="Heading4">
    <w:name w:val="heading 4"/>
    <w:basedOn w:val="Normal"/>
    <w:next w:val="Normal"/>
    <w:link w:val="Heading4Char"/>
    <w:uiPriority w:val="9"/>
    <w:semiHidden/>
    <w:unhideWhenUsed/>
    <w:qFormat/>
    <w:rsid w:val="00FA1E35"/>
    <w:pPr>
      <w:keepNext/>
      <w:keepLines/>
      <w:spacing w:before="40" w:after="0"/>
      <w:outlineLvl w:val="3"/>
    </w:pPr>
    <w:rPr>
      <w:rFonts w:asciiTheme="majorHAnsi" w:eastAsiaTheme="majorEastAsia" w:hAnsiTheme="majorHAnsi" w:cstheme="majorBidi"/>
      <w:i/>
      <w:iCs/>
      <w:color w:val="0B2A4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qFormat/>
    <w:rsid w:val="001926E0"/>
    <w:rPr>
      <w:rFonts w:ascii="Verdana" w:hAnsi="Verdana"/>
      <w:color w:val="0000FF"/>
      <w:sz w:val="20"/>
      <w:u w:val="single" w:color="0000FF"/>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basedOn w:val="Normal"/>
    <w:uiPriority w:val="34"/>
    <w:qFormat/>
    <w:rsid w:val="008B4399"/>
    <w:pPr>
      <w:ind w:left="720"/>
      <w:contextualSpacing/>
    </w:pPr>
  </w:style>
  <w:style w:type="paragraph" w:styleId="NormalWeb">
    <w:name w:val="Normal (Web)"/>
    <w:basedOn w:val="Normal"/>
    <w:uiPriority w:val="99"/>
    <w:unhideWhenUsed/>
    <w:rsid w:val="00C94E8F"/>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Heading4Char">
    <w:name w:val="Heading 4 Char"/>
    <w:basedOn w:val="DefaultParagraphFont"/>
    <w:link w:val="Heading4"/>
    <w:uiPriority w:val="9"/>
    <w:semiHidden/>
    <w:rsid w:val="00FA1E35"/>
    <w:rPr>
      <w:rFonts w:asciiTheme="majorHAnsi" w:eastAsiaTheme="majorEastAsia" w:hAnsiTheme="majorHAnsi" w:cstheme="majorBidi"/>
      <w:i/>
      <w:iCs/>
      <w:color w:val="0B2A4C"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847972">
      <w:bodyDiv w:val="1"/>
      <w:marLeft w:val="0"/>
      <w:marRight w:val="0"/>
      <w:marTop w:val="0"/>
      <w:marBottom w:val="0"/>
      <w:divBdr>
        <w:top w:val="none" w:sz="0" w:space="0" w:color="auto"/>
        <w:left w:val="none" w:sz="0" w:space="0" w:color="auto"/>
        <w:bottom w:val="none" w:sz="0" w:space="0" w:color="auto"/>
        <w:right w:val="none" w:sz="0" w:space="0" w:color="auto"/>
      </w:divBdr>
    </w:div>
    <w:div w:id="357437579">
      <w:bodyDiv w:val="1"/>
      <w:marLeft w:val="0"/>
      <w:marRight w:val="0"/>
      <w:marTop w:val="0"/>
      <w:marBottom w:val="0"/>
      <w:divBdr>
        <w:top w:val="none" w:sz="0" w:space="0" w:color="auto"/>
        <w:left w:val="none" w:sz="0" w:space="0" w:color="auto"/>
        <w:bottom w:val="none" w:sz="0" w:space="0" w:color="auto"/>
        <w:right w:val="none" w:sz="0" w:space="0" w:color="auto"/>
      </w:divBdr>
      <w:divsChild>
        <w:div w:id="1356689146">
          <w:marLeft w:val="0"/>
          <w:marRight w:val="0"/>
          <w:marTop w:val="0"/>
          <w:marBottom w:val="0"/>
          <w:divBdr>
            <w:top w:val="none" w:sz="0" w:space="0" w:color="auto"/>
            <w:left w:val="none" w:sz="0" w:space="0" w:color="auto"/>
            <w:bottom w:val="none" w:sz="0" w:space="0" w:color="auto"/>
            <w:right w:val="none" w:sz="0" w:space="0" w:color="auto"/>
          </w:divBdr>
          <w:divsChild>
            <w:div w:id="18201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91908">
      <w:bodyDiv w:val="1"/>
      <w:marLeft w:val="0"/>
      <w:marRight w:val="0"/>
      <w:marTop w:val="0"/>
      <w:marBottom w:val="0"/>
      <w:divBdr>
        <w:top w:val="none" w:sz="0" w:space="0" w:color="auto"/>
        <w:left w:val="none" w:sz="0" w:space="0" w:color="auto"/>
        <w:bottom w:val="none" w:sz="0" w:space="0" w:color="auto"/>
        <w:right w:val="none" w:sz="0" w:space="0" w:color="auto"/>
      </w:divBdr>
    </w:div>
    <w:div w:id="969363477">
      <w:bodyDiv w:val="1"/>
      <w:marLeft w:val="0"/>
      <w:marRight w:val="0"/>
      <w:marTop w:val="0"/>
      <w:marBottom w:val="0"/>
      <w:divBdr>
        <w:top w:val="none" w:sz="0" w:space="0" w:color="auto"/>
        <w:left w:val="none" w:sz="0" w:space="0" w:color="auto"/>
        <w:bottom w:val="none" w:sz="0" w:space="0" w:color="auto"/>
        <w:right w:val="none" w:sz="0" w:space="0" w:color="auto"/>
      </w:divBdr>
      <w:divsChild>
        <w:div w:id="1233081325">
          <w:marLeft w:val="0"/>
          <w:marRight w:val="0"/>
          <w:marTop w:val="0"/>
          <w:marBottom w:val="0"/>
          <w:divBdr>
            <w:top w:val="none" w:sz="0" w:space="0" w:color="auto"/>
            <w:left w:val="none" w:sz="0" w:space="0" w:color="auto"/>
            <w:bottom w:val="none" w:sz="0" w:space="0" w:color="auto"/>
            <w:right w:val="none" w:sz="0" w:space="0" w:color="auto"/>
          </w:divBdr>
          <w:divsChild>
            <w:div w:id="1683510987">
              <w:marLeft w:val="0"/>
              <w:marRight w:val="0"/>
              <w:marTop w:val="0"/>
              <w:marBottom w:val="0"/>
              <w:divBdr>
                <w:top w:val="none" w:sz="0" w:space="0" w:color="auto"/>
                <w:left w:val="none" w:sz="0" w:space="0" w:color="auto"/>
                <w:bottom w:val="none" w:sz="0" w:space="0" w:color="auto"/>
                <w:right w:val="none" w:sz="0" w:space="0" w:color="auto"/>
              </w:divBdr>
            </w:div>
          </w:divsChild>
        </w:div>
        <w:div w:id="2013141094">
          <w:marLeft w:val="0"/>
          <w:marRight w:val="0"/>
          <w:marTop w:val="0"/>
          <w:marBottom w:val="0"/>
          <w:divBdr>
            <w:top w:val="none" w:sz="0" w:space="0" w:color="auto"/>
            <w:left w:val="none" w:sz="0" w:space="0" w:color="auto"/>
            <w:bottom w:val="none" w:sz="0" w:space="0" w:color="auto"/>
            <w:right w:val="none" w:sz="0" w:space="0" w:color="auto"/>
          </w:divBdr>
          <w:divsChild>
            <w:div w:id="1168909408">
              <w:marLeft w:val="0"/>
              <w:marRight w:val="0"/>
              <w:marTop w:val="0"/>
              <w:marBottom w:val="0"/>
              <w:divBdr>
                <w:top w:val="none" w:sz="0" w:space="0" w:color="auto"/>
                <w:left w:val="none" w:sz="0" w:space="0" w:color="auto"/>
                <w:bottom w:val="none" w:sz="0" w:space="0" w:color="auto"/>
                <w:right w:val="none" w:sz="0" w:space="0" w:color="auto"/>
              </w:divBdr>
            </w:div>
          </w:divsChild>
        </w:div>
        <w:div w:id="1960452532">
          <w:marLeft w:val="0"/>
          <w:marRight w:val="0"/>
          <w:marTop w:val="0"/>
          <w:marBottom w:val="0"/>
          <w:divBdr>
            <w:top w:val="none" w:sz="0" w:space="0" w:color="auto"/>
            <w:left w:val="none" w:sz="0" w:space="0" w:color="auto"/>
            <w:bottom w:val="none" w:sz="0" w:space="0" w:color="auto"/>
            <w:right w:val="none" w:sz="0" w:space="0" w:color="auto"/>
          </w:divBdr>
          <w:divsChild>
            <w:div w:id="64764438">
              <w:marLeft w:val="0"/>
              <w:marRight w:val="0"/>
              <w:marTop w:val="0"/>
              <w:marBottom w:val="0"/>
              <w:divBdr>
                <w:top w:val="none" w:sz="0" w:space="0" w:color="auto"/>
                <w:left w:val="none" w:sz="0" w:space="0" w:color="auto"/>
                <w:bottom w:val="none" w:sz="0" w:space="0" w:color="auto"/>
                <w:right w:val="none" w:sz="0" w:space="0" w:color="auto"/>
              </w:divBdr>
            </w:div>
          </w:divsChild>
        </w:div>
        <w:div w:id="413667080">
          <w:marLeft w:val="0"/>
          <w:marRight w:val="0"/>
          <w:marTop w:val="0"/>
          <w:marBottom w:val="0"/>
          <w:divBdr>
            <w:top w:val="none" w:sz="0" w:space="0" w:color="auto"/>
            <w:left w:val="none" w:sz="0" w:space="0" w:color="auto"/>
            <w:bottom w:val="none" w:sz="0" w:space="0" w:color="auto"/>
            <w:right w:val="none" w:sz="0" w:space="0" w:color="auto"/>
          </w:divBdr>
          <w:divsChild>
            <w:div w:id="4214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22856">
      <w:bodyDiv w:val="1"/>
      <w:marLeft w:val="0"/>
      <w:marRight w:val="0"/>
      <w:marTop w:val="0"/>
      <w:marBottom w:val="0"/>
      <w:divBdr>
        <w:top w:val="none" w:sz="0" w:space="0" w:color="auto"/>
        <w:left w:val="none" w:sz="0" w:space="0" w:color="auto"/>
        <w:bottom w:val="none" w:sz="0" w:space="0" w:color="auto"/>
        <w:right w:val="none" w:sz="0" w:space="0" w:color="auto"/>
      </w:divBdr>
    </w:div>
    <w:div w:id="1049761263">
      <w:bodyDiv w:val="1"/>
      <w:marLeft w:val="0"/>
      <w:marRight w:val="0"/>
      <w:marTop w:val="0"/>
      <w:marBottom w:val="0"/>
      <w:divBdr>
        <w:top w:val="none" w:sz="0" w:space="0" w:color="auto"/>
        <w:left w:val="none" w:sz="0" w:space="0" w:color="auto"/>
        <w:bottom w:val="none" w:sz="0" w:space="0" w:color="auto"/>
        <w:right w:val="none" w:sz="0" w:space="0" w:color="auto"/>
      </w:divBdr>
    </w:div>
    <w:div w:id="1265455130">
      <w:bodyDiv w:val="1"/>
      <w:marLeft w:val="0"/>
      <w:marRight w:val="0"/>
      <w:marTop w:val="0"/>
      <w:marBottom w:val="0"/>
      <w:divBdr>
        <w:top w:val="none" w:sz="0" w:space="0" w:color="auto"/>
        <w:left w:val="none" w:sz="0" w:space="0" w:color="auto"/>
        <w:bottom w:val="none" w:sz="0" w:space="0" w:color="auto"/>
        <w:right w:val="none" w:sz="0" w:space="0" w:color="auto"/>
      </w:divBdr>
    </w:div>
    <w:div w:id="1297491608">
      <w:bodyDiv w:val="1"/>
      <w:marLeft w:val="0"/>
      <w:marRight w:val="0"/>
      <w:marTop w:val="0"/>
      <w:marBottom w:val="0"/>
      <w:divBdr>
        <w:top w:val="none" w:sz="0" w:space="0" w:color="auto"/>
        <w:left w:val="none" w:sz="0" w:space="0" w:color="auto"/>
        <w:bottom w:val="none" w:sz="0" w:space="0" w:color="auto"/>
        <w:right w:val="none" w:sz="0" w:space="0" w:color="auto"/>
      </w:divBdr>
    </w:div>
    <w:div w:id="1352800475">
      <w:bodyDiv w:val="1"/>
      <w:marLeft w:val="0"/>
      <w:marRight w:val="0"/>
      <w:marTop w:val="0"/>
      <w:marBottom w:val="0"/>
      <w:divBdr>
        <w:top w:val="none" w:sz="0" w:space="0" w:color="auto"/>
        <w:left w:val="none" w:sz="0" w:space="0" w:color="auto"/>
        <w:bottom w:val="none" w:sz="0" w:space="0" w:color="auto"/>
        <w:right w:val="none" w:sz="0" w:space="0" w:color="auto"/>
      </w:divBdr>
    </w:div>
    <w:div w:id="1431394204">
      <w:bodyDiv w:val="1"/>
      <w:marLeft w:val="0"/>
      <w:marRight w:val="0"/>
      <w:marTop w:val="0"/>
      <w:marBottom w:val="0"/>
      <w:divBdr>
        <w:top w:val="none" w:sz="0" w:space="0" w:color="auto"/>
        <w:left w:val="none" w:sz="0" w:space="0" w:color="auto"/>
        <w:bottom w:val="none" w:sz="0" w:space="0" w:color="auto"/>
        <w:right w:val="none" w:sz="0" w:space="0" w:color="auto"/>
      </w:divBdr>
    </w:div>
    <w:div w:id="192074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18&amp;DT=G&amp;LID=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ramework.esc18.ne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ea.ed.gov/static/modelForm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a.texas.gov/index2.aspx?id=214750448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ramework.esc18.net/display/Webforms/ESC-FW-Glossary.aspx?DT=G&amp;LID=e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FB15741-DDFA-4C1A-AEC0-70DC618F1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17</cp:revision>
  <cp:lastPrinted>2016-03-01T22:06:00Z</cp:lastPrinted>
  <dcterms:created xsi:type="dcterms:W3CDTF">2020-09-16T13:42:00Z</dcterms:created>
  <dcterms:modified xsi:type="dcterms:W3CDTF">2025-10-27T15:04:00Z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