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FE1AD" w14:textId="77777777" w:rsidR="002045E8" w:rsidRDefault="002045E8" w:rsidP="002045E8">
      <w:pPr>
        <w:spacing w:after="0" w:line="240" w:lineRule="auto"/>
        <w:rPr>
          <w:szCs w:val="20"/>
        </w:rPr>
      </w:pPr>
    </w:p>
    <w:p w14:paraId="6AF1A939"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1E6377" w:rsidRPr="00615562">
          <w:rPr>
            <w:rStyle w:val="Hyperlink"/>
            <w:color w:val="0000FF"/>
            <w:szCs w:val="20"/>
          </w:rPr>
          <w:t>Special Education Eligibility Folder</w:t>
        </w:r>
      </w:hyperlink>
      <w:r w:rsidRPr="008E1425">
        <w:rPr>
          <w:color w:val="000000" w:themeColor="text1"/>
          <w:szCs w:val="20"/>
        </w:rPr>
        <w:t xml:space="preserve"> </w:t>
      </w:r>
    </w:p>
    <w:p w14:paraId="53F5E7D1"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B16014">
        <w:rPr>
          <w:color w:val="000000" w:themeColor="text1"/>
          <w:sz w:val="12"/>
          <w:szCs w:val="12"/>
        </w:rPr>
        <w:t>Template update Oct</w:t>
      </w:r>
      <w:r w:rsidR="009415A3" w:rsidRPr="009415A3">
        <w:rPr>
          <w:color w:val="000000" w:themeColor="text1"/>
          <w:sz w:val="12"/>
          <w:szCs w:val="12"/>
        </w:rPr>
        <w:t xml:space="preserve"> 2016</w:t>
      </w:r>
    </w:p>
    <w:p w14:paraId="1BCB1D5C" w14:textId="77777777" w:rsidR="000C551A" w:rsidRPr="009415A3" w:rsidRDefault="000C551A" w:rsidP="00FC4DAA">
      <w:pPr>
        <w:spacing w:after="0" w:line="240" w:lineRule="auto"/>
        <w:rPr>
          <w:color w:val="000000" w:themeColor="text1"/>
        </w:rPr>
      </w:pPr>
    </w:p>
    <w:p w14:paraId="5A32237E" w14:textId="77777777" w:rsidR="001E6377" w:rsidRPr="001E6377" w:rsidRDefault="001E6377" w:rsidP="001E6377">
      <w:pPr>
        <w:spacing w:after="0" w:line="240" w:lineRule="auto"/>
        <w:jc w:val="both"/>
        <w:rPr>
          <w:rFonts w:eastAsia="Times New Roman" w:cs="Times New Roman"/>
          <w:color w:val="auto"/>
          <w:szCs w:val="20"/>
        </w:rPr>
      </w:pPr>
      <w:r w:rsidRPr="001E6377">
        <w:rPr>
          <w:rFonts w:eastAsia="Times New Roman" w:cs="Times New Roman"/>
          <w:color w:val="auto"/>
          <w:szCs w:val="20"/>
        </w:rPr>
        <w:t xml:space="preserve">“The </w:t>
      </w:r>
      <w:r w:rsidR="00203F82">
        <w:rPr>
          <w:rFonts w:eastAsia="Times New Roman" w:cs="Times New Roman"/>
          <w:color w:val="auto"/>
          <w:szCs w:val="20"/>
        </w:rPr>
        <w:t>[</w:t>
      </w:r>
      <w:r w:rsidR="00FE61CB" w:rsidRPr="00FE61CB">
        <w:rPr>
          <w:rFonts w:eastAsia="Times New Roman" w:cs="Times New Roman"/>
          <w:color w:val="auto"/>
          <w:szCs w:val="20"/>
        </w:rPr>
        <w:t>Family Educational Rights and Privacy Act</w:t>
      </w:r>
      <w:r w:rsidR="00203F82">
        <w:rPr>
          <w:rFonts w:eastAsia="Times New Roman" w:cs="Times New Roman"/>
          <w:color w:val="auto"/>
          <w:szCs w:val="20"/>
        </w:rPr>
        <w:t>]</w:t>
      </w:r>
      <w:r w:rsidR="00203F82" w:rsidRPr="00203F82">
        <w:rPr>
          <w:rFonts w:eastAsia="Times New Roman" w:cs="Times New Roman"/>
          <w:color w:val="auto"/>
          <w:szCs w:val="20"/>
        </w:rPr>
        <w:t xml:space="preserve"> </w:t>
      </w:r>
      <w:r w:rsidRPr="001E6377">
        <w:rPr>
          <w:rFonts w:eastAsia="Times New Roman" w:cs="Times New Roman"/>
          <w:color w:val="auto"/>
          <w:szCs w:val="20"/>
        </w:rPr>
        <w:t xml:space="preserve">FERPA Safeguarding Recommendations recognize that no system for maintaining and transmitting education records, whether in paper or electronic form, can be guaranteed safe from every hacker and thief, technological failure, violation of administrative rules, and other causes of unauthorized access and disclosure. Although FERPA does not dictate requirements for safeguarding education records, the Department encourages the holders of personally identifiable information to consider actions that mitigate the risk and are reasonably calculated to protect such information. Of course, an educational agency or institution may use any reasonable method, combination of methods, or technologies, taking into consideration the size, complexity, and resources available to the institution; the context of the information; the type of information to be protected (such as </w:t>
      </w:r>
      <w:r w:rsidR="00203F82">
        <w:rPr>
          <w:rFonts w:eastAsia="Times New Roman" w:cs="Times New Roman"/>
          <w:color w:val="auto"/>
          <w:szCs w:val="20"/>
        </w:rPr>
        <w:t xml:space="preserve">[Social Security numbers] </w:t>
      </w:r>
      <w:r w:rsidRPr="001E6377">
        <w:rPr>
          <w:rFonts w:eastAsia="Times New Roman" w:cs="Times New Roman"/>
          <w:color w:val="auto"/>
          <w:szCs w:val="20"/>
        </w:rPr>
        <w:t xml:space="preserve">SSNs or directory information); and methods used by other institutions in similar circumstances. The greater the harm that would result from unauthorized access or disclosure and the greater the likelihood that unauthorized access or disclosure will be attempted, the more protections an agency or institution should consider using to ensure that its methods are reasonable.”  </w:t>
      </w:r>
      <w:hyperlink r:id="rId9" w:history="1">
        <w:r w:rsidRPr="0083436E">
          <w:rPr>
            <w:rStyle w:val="Hyperlink"/>
            <w:rFonts w:eastAsia="Times New Roman" w:cs="Times New Roman"/>
            <w:i/>
            <w:color w:val="0000FF"/>
            <w:szCs w:val="20"/>
          </w:rPr>
          <w:t>FPCO Letter to Tobias</w:t>
        </w:r>
        <w:r w:rsidRPr="0083436E">
          <w:rPr>
            <w:rStyle w:val="Hyperlink"/>
            <w:rFonts w:eastAsia="Times New Roman" w:cs="Times New Roman"/>
            <w:color w:val="0000FF"/>
            <w:szCs w:val="20"/>
          </w:rPr>
          <w:t xml:space="preserve"> (May 8, 2015)</w:t>
        </w:r>
      </w:hyperlink>
      <w:r w:rsidR="00B16014">
        <w:rPr>
          <w:rFonts w:eastAsia="Times New Roman" w:cs="Times New Roman"/>
          <w:color w:val="000000" w:themeColor="text1"/>
          <w:szCs w:val="20"/>
        </w:rPr>
        <w:t>.</w:t>
      </w:r>
    </w:p>
    <w:p w14:paraId="50888724" w14:textId="77777777" w:rsidR="001E6377" w:rsidRPr="001E6377" w:rsidRDefault="001E6377" w:rsidP="001E6377">
      <w:pPr>
        <w:spacing w:after="0" w:line="240" w:lineRule="auto"/>
        <w:jc w:val="both"/>
        <w:rPr>
          <w:rFonts w:eastAsia="Times New Roman" w:cs="Times New Roman"/>
          <w:color w:val="auto"/>
          <w:szCs w:val="20"/>
        </w:rPr>
      </w:pPr>
    </w:p>
    <w:p w14:paraId="20B55F46" w14:textId="77777777" w:rsidR="001E6377" w:rsidRPr="001E6377" w:rsidRDefault="001E6377" w:rsidP="001E6377">
      <w:pPr>
        <w:spacing w:after="0" w:line="240" w:lineRule="auto"/>
        <w:jc w:val="both"/>
        <w:rPr>
          <w:rFonts w:eastAsia="Times New Roman" w:cs="Times New Roman"/>
          <w:color w:val="auto"/>
          <w:szCs w:val="20"/>
        </w:rPr>
      </w:pPr>
      <w:r w:rsidRPr="001E6377">
        <w:rPr>
          <w:rFonts w:eastAsia="Times New Roman" w:cs="Times New Roman"/>
          <w:color w:val="auto"/>
          <w:szCs w:val="20"/>
        </w:rPr>
        <w:t xml:space="preserve">“As explained in the FERPA Safeguarding Recommendations, one resource for administrators of electronic data systems </w:t>
      </w:r>
      <w:r w:rsidRPr="00B16014">
        <w:rPr>
          <w:rFonts w:eastAsia="Times New Roman" w:cs="Times New Roman"/>
          <w:color w:val="000000" w:themeColor="text1"/>
          <w:szCs w:val="20"/>
        </w:rPr>
        <w:t>is ‘</w:t>
      </w:r>
      <w:hyperlink r:id="rId10" w:history="1">
        <w:r w:rsidRPr="001E6377">
          <w:rPr>
            <w:rFonts w:eastAsia="Times New Roman" w:cs="Times New Roman"/>
            <w:color w:val="0000FF"/>
            <w:szCs w:val="20"/>
            <w:u w:val="single"/>
          </w:rPr>
          <w:t>The National Institute of Standards and Technology (NIST) 800-100, Information Security Handbook: A Guide for Managers</w:t>
        </w:r>
      </w:hyperlink>
      <w:r w:rsidRPr="001E6377">
        <w:rPr>
          <w:rFonts w:eastAsia="Times New Roman" w:cs="Times New Roman"/>
          <w:color w:val="auto"/>
          <w:szCs w:val="20"/>
        </w:rPr>
        <w:t>’ (</w:t>
      </w:r>
      <w:r w:rsidRPr="00B16014">
        <w:rPr>
          <w:rFonts w:eastAsia="Times New Roman" w:cs="Times New Roman"/>
          <w:color w:val="auto"/>
          <w:szCs w:val="20"/>
        </w:rPr>
        <w:t>October 2006).</w:t>
      </w:r>
      <w:r w:rsidR="00B16014" w:rsidRPr="00B16014">
        <w:rPr>
          <w:rFonts w:eastAsia="Times New Roman" w:cs="Times New Roman"/>
          <w:color w:val="auto"/>
          <w:szCs w:val="20"/>
        </w:rPr>
        <w:t> . . . </w:t>
      </w:r>
      <w:r w:rsidRPr="00B16014">
        <w:rPr>
          <w:rFonts w:eastAsia="Times New Roman" w:cs="Times New Roman"/>
          <w:color w:val="auto"/>
          <w:szCs w:val="20"/>
        </w:rPr>
        <w:t xml:space="preserve">Another resource is </w:t>
      </w:r>
      <w:hyperlink r:id="rId11" w:history="1">
        <w:r w:rsidRPr="00B16014">
          <w:rPr>
            <w:rFonts w:eastAsia="Times New Roman" w:cs="Times New Roman"/>
            <w:color w:val="0000FF"/>
            <w:szCs w:val="20"/>
            <w:u w:val="single"/>
          </w:rPr>
          <w:t>NIST 800-53, Information Security</w:t>
        </w:r>
      </w:hyperlink>
      <w:r w:rsidRPr="00B16014">
        <w:rPr>
          <w:rFonts w:eastAsia="Times New Roman" w:cs="Times New Roman"/>
          <w:color w:val="auto"/>
          <w:szCs w:val="20"/>
        </w:rPr>
        <w:t>, which catalogs information security controls</w:t>
      </w:r>
      <w:r w:rsidR="00B16014" w:rsidRPr="00B16014">
        <w:rPr>
          <w:rFonts w:eastAsia="Times New Roman" w:cs="Times New Roman"/>
          <w:color w:val="auto"/>
          <w:szCs w:val="20"/>
        </w:rPr>
        <w:t>. . . . </w:t>
      </w:r>
      <w:r w:rsidRPr="00B16014">
        <w:rPr>
          <w:rFonts w:eastAsia="Times New Roman" w:cs="Times New Roman"/>
          <w:color w:val="auto"/>
          <w:szCs w:val="20"/>
        </w:rPr>
        <w:t xml:space="preserve">Similarly, a May 22, 2007, </w:t>
      </w:r>
      <w:hyperlink r:id="rId12" w:history="1">
        <w:r w:rsidRPr="00B16014">
          <w:rPr>
            <w:rFonts w:eastAsia="Times New Roman" w:cs="Times New Roman"/>
            <w:color w:val="0000FF"/>
            <w:szCs w:val="20"/>
            <w:u w:val="single"/>
          </w:rPr>
          <w:t>memorandum to heads of Federal agencies from the Office of Management and Budget</w:t>
        </w:r>
      </w:hyperlink>
      <w:r w:rsidRPr="00B16014">
        <w:rPr>
          <w:rFonts w:eastAsia="Times New Roman" w:cs="Times New Roman"/>
          <w:color w:val="auto"/>
          <w:szCs w:val="20"/>
        </w:rPr>
        <w:t xml:space="preserve"> requires executive departments and agencies to ensure that proper safeguards are in place to protect personally identifiable</w:t>
      </w:r>
      <w:r w:rsidRPr="001E6377">
        <w:rPr>
          <w:rFonts w:eastAsia="Times New Roman" w:cs="Times New Roman"/>
          <w:color w:val="auto"/>
          <w:szCs w:val="20"/>
        </w:rPr>
        <w:t xml:space="preserve"> information that they maintain, eliminate the unnecessary use of SSNs, and develop and implement a ‘breach notification policy.’ Although directed towards Federal agencies, this memorandum may also serve as a resource for educational agencies and institutions.”  </w:t>
      </w:r>
      <w:hyperlink r:id="rId13" w:history="1">
        <w:r w:rsidR="0083436E" w:rsidRPr="0083436E">
          <w:rPr>
            <w:rStyle w:val="Hyperlink"/>
            <w:rFonts w:eastAsia="Times New Roman" w:cs="Times New Roman"/>
            <w:i/>
            <w:color w:val="0000FF"/>
            <w:szCs w:val="20"/>
          </w:rPr>
          <w:t>FPCO Letter to Tobias</w:t>
        </w:r>
        <w:r w:rsidR="0083436E" w:rsidRPr="0083436E">
          <w:rPr>
            <w:rStyle w:val="Hyperlink"/>
            <w:rFonts w:eastAsia="Times New Roman" w:cs="Times New Roman"/>
            <w:color w:val="0000FF"/>
            <w:szCs w:val="20"/>
          </w:rPr>
          <w:t xml:space="preserve"> (May 8, 2015)</w:t>
        </w:r>
      </w:hyperlink>
      <w:r w:rsidRPr="001E6377">
        <w:rPr>
          <w:rFonts w:eastAsia="Times New Roman" w:cs="Times New Roman"/>
          <w:color w:val="auto"/>
          <w:szCs w:val="20"/>
        </w:rPr>
        <w:t xml:space="preserve">. </w:t>
      </w:r>
    </w:p>
    <w:p w14:paraId="6914C92F" w14:textId="77777777" w:rsidR="001E6377" w:rsidRPr="001E6377" w:rsidRDefault="001E6377" w:rsidP="001E6377">
      <w:pPr>
        <w:spacing w:after="0" w:line="240" w:lineRule="auto"/>
        <w:jc w:val="both"/>
        <w:rPr>
          <w:rFonts w:eastAsia="Times New Roman" w:cs="Times New Roman"/>
          <w:color w:val="auto"/>
          <w:szCs w:val="20"/>
        </w:rPr>
      </w:pPr>
    </w:p>
    <w:p w14:paraId="5D76F839" w14:textId="77777777" w:rsidR="001E6377" w:rsidRPr="001E6377" w:rsidRDefault="001E6377" w:rsidP="001E6377">
      <w:pPr>
        <w:spacing w:after="0" w:line="240" w:lineRule="auto"/>
        <w:jc w:val="both"/>
        <w:rPr>
          <w:rFonts w:eastAsia="Times New Roman" w:cs="Times New Roman"/>
          <w:color w:val="auto"/>
          <w:szCs w:val="20"/>
        </w:rPr>
      </w:pPr>
      <w:r w:rsidRPr="001E6377">
        <w:rPr>
          <w:rFonts w:eastAsia="Times New Roman" w:cs="Times New Roman"/>
          <w:color w:val="auto"/>
          <w:szCs w:val="20"/>
        </w:rPr>
        <w:t xml:space="preserve">The Department's FERPA Safeguarding Recommendations specify that an educational agency or institution that has experienced a theft of files or computer equipment, hacking or other intrusion, software or hardware malfunction, inadvertent release of data to Internet sites, or other unauthorized release or disclosure of education records, should consider one or more of the following steps: </w:t>
      </w:r>
    </w:p>
    <w:p w14:paraId="381D8EFB"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Report the incident to law enforcement authorities. </w:t>
      </w:r>
    </w:p>
    <w:p w14:paraId="6102F8B7"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Determine exactly what information was compromised, i.e., names, addresses, SSNs, ID numbers, credit card numbers, grades, and the like. </w:t>
      </w:r>
    </w:p>
    <w:p w14:paraId="4A0C73E6"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Take steps immediately to retrieve data and prevent any further disclosures. </w:t>
      </w:r>
    </w:p>
    <w:p w14:paraId="5AC71C37"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Identify all affected records and students. </w:t>
      </w:r>
    </w:p>
    <w:p w14:paraId="239245C5"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Determine how the incident occurred, including which school officials had control of and responsibility for the information that was compromised. </w:t>
      </w:r>
    </w:p>
    <w:p w14:paraId="3D8B5D99"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Determine whether institutional policies and procedures were breached, including organizational requirements governing access (user names, passwords, PINS, etc.); storage; transmission; and destruction of information from education records. </w:t>
      </w:r>
    </w:p>
    <w:p w14:paraId="269297EA"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Determine whether the incident occurred because of a lack of monitoring and oversight. </w:t>
      </w:r>
    </w:p>
    <w:p w14:paraId="60DAC3F9"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lastRenderedPageBreak/>
        <w:t xml:space="preserve">Conduct a risk assessment and identify appropriate physical, technological, and administrative measures to prevent similar incidents in the future. </w:t>
      </w:r>
    </w:p>
    <w:p w14:paraId="439D0ABD" w14:textId="77777777" w:rsidR="001E6377" w:rsidRPr="001E6377" w:rsidRDefault="001E6377" w:rsidP="00615562">
      <w:pPr>
        <w:numPr>
          <w:ilvl w:val="0"/>
          <w:numId w:val="19"/>
        </w:numPr>
        <w:spacing w:after="0" w:line="240" w:lineRule="auto"/>
        <w:ind w:left="720"/>
        <w:jc w:val="both"/>
        <w:rPr>
          <w:rFonts w:eastAsia="Times New Roman" w:cs="Times New Roman"/>
          <w:color w:val="auto"/>
          <w:szCs w:val="20"/>
        </w:rPr>
      </w:pPr>
      <w:r w:rsidRPr="001E6377">
        <w:rPr>
          <w:rFonts w:eastAsia="Times New Roman" w:cs="Times New Roman"/>
          <w:color w:val="auto"/>
          <w:szCs w:val="20"/>
        </w:rPr>
        <w:t xml:space="preserve">Notify students that the </w:t>
      </w:r>
      <w:hyperlink r:id="rId14" w:history="1">
        <w:r w:rsidRPr="001E6377">
          <w:rPr>
            <w:rFonts w:eastAsia="Times New Roman" w:cs="Times New Roman"/>
            <w:color w:val="0000FF"/>
            <w:szCs w:val="20"/>
            <w:u w:val="single"/>
          </w:rPr>
          <w:t>Department's Office of Inspector General maintains a website</w:t>
        </w:r>
      </w:hyperlink>
      <w:r w:rsidRPr="001E6377">
        <w:rPr>
          <w:rFonts w:eastAsia="Times New Roman" w:cs="Times New Roman"/>
          <w:color w:val="auto"/>
          <w:szCs w:val="20"/>
        </w:rPr>
        <w:t xml:space="preserve"> describing </w:t>
      </w:r>
      <w:hyperlink r:id="rId15" w:history="1">
        <w:r w:rsidRPr="001E6377">
          <w:rPr>
            <w:rFonts w:eastAsia="Times New Roman" w:cs="Times New Roman"/>
            <w:color w:val="0000FF"/>
            <w:szCs w:val="20"/>
            <w:u w:val="single"/>
          </w:rPr>
          <w:t>steps students may take</w:t>
        </w:r>
      </w:hyperlink>
      <w:r w:rsidRPr="001E6377">
        <w:rPr>
          <w:rFonts w:eastAsia="Times New Roman" w:cs="Times New Roman"/>
          <w:color w:val="auto"/>
          <w:szCs w:val="20"/>
        </w:rPr>
        <w:t xml:space="preserve"> if they suspect they are a victim of identity </w:t>
      </w:r>
      <w:r w:rsidRPr="004869A0">
        <w:rPr>
          <w:rFonts w:eastAsia="Times New Roman" w:cs="Times New Roman"/>
          <w:color w:val="auto"/>
          <w:szCs w:val="20"/>
        </w:rPr>
        <w:t>theft</w:t>
      </w:r>
      <w:r w:rsidR="001A0E11" w:rsidRPr="004869A0">
        <w:rPr>
          <w:rFonts w:eastAsia="Times New Roman" w:cs="Times New Roman"/>
          <w:color w:val="auto"/>
          <w:szCs w:val="20"/>
        </w:rPr>
        <w:t>. . . .</w:t>
      </w:r>
      <w:r w:rsidRPr="004869A0">
        <w:rPr>
          <w:rFonts w:eastAsia="Times New Roman" w:cs="Times New Roman"/>
          <w:color w:val="auto"/>
          <w:szCs w:val="20"/>
        </w:rPr>
        <w:t>”</w:t>
      </w:r>
    </w:p>
    <w:p w14:paraId="7AB1C1FC" w14:textId="77777777" w:rsidR="001E6377" w:rsidRPr="001E6377" w:rsidRDefault="00EC28C8" w:rsidP="001E6377">
      <w:pPr>
        <w:spacing w:after="0" w:line="240" w:lineRule="auto"/>
        <w:ind w:left="360" w:hanging="360"/>
        <w:jc w:val="both"/>
        <w:rPr>
          <w:rFonts w:eastAsia="Times New Roman" w:cs="Times New Roman"/>
          <w:color w:val="auto"/>
          <w:szCs w:val="20"/>
        </w:rPr>
      </w:pPr>
      <w:hyperlink r:id="rId16" w:history="1">
        <w:r w:rsidR="0083436E" w:rsidRPr="0083436E">
          <w:rPr>
            <w:rStyle w:val="Hyperlink"/>
            <w:rFonts w:eastAsia="Times New Roman" w:cs="Times New Roman"/>
            <w:i/>
            <w:color w:val="0000FF"/>
            <w:szCs w:val="20"/>
          </w:rPr>
          <w:t>FPCO Letter to Tobias</w:t>
        </w:r>
        <w:r w:rsidR="0083436E" w:rsidRPr="0083436E">
          <w:rPr>
            <w:rStyle w:val="Hyperlink"/>
            <w:rFonts w:eastAsia="Times New Roman" w:cs="Times New Roman"/>
            <w:color w:val="0000FF"/>
            <w:szCs w:val="20"/>
          </w:rPr>
          <w:t xml:space="preserve"> (May 8, 2015)</w:t>
        </w:r>
      </w:hyperlink>
      <w:r w:rsidR="001E6377" w:rsidRPr="001E6377">
        <w:rPr>
          <w:rFonts w:eastAsia="Times New Roman" w:cs="Times New Roman"/>
          <w:color w:val="auto"/>
          <w:szCs w:val="20"/>
        </w:rPr>
        <w:t>.</w:t>
      </w:r>
    </w:p>
    <w:p w14:paraId="106BCBC6" w14:textId="77777777" w:rsidR="001E6377" w:rsidRPr="001E6377" w:rsidRDefault="001E6377" w:rsidP="001E6377">
      <w:pPr>
        <w:spacing w:after="0" w:line="240" w:lineRule="auto"/>
        <w:jc w:val="both"/>
        <w:rPr>
          <w:rFonts w:eastAsia="Times New Roman" w:cs="Times New Roman"/>
          <w:color w:val="auto"/>
          <w:szCs w:val="20"/>
        </w:rPr>
      </w:pPr>
    </w:p>
    <w:p w14:paraId="12751BB6" w14:textId="77777777" w:rsidR="001E6377" w:rsidRPr="001E6377" w:rsidRDefault="001E6377" w:rsidP="001E6377">
      <w:pPr>
        <w:spacing w:after="0" w:line="240" w:lineRule="auto"/>
        <w:jc w:val="both"/>
        <w:rPr>
          <w:rFonts w:eastAsia="Times New Roman" w:cs="Times New Roman"/>
          <w:color w:val="auto"/>
          <w:szCs w:val="20"/>
        </w:rPr>
      </w:pPr>
      <w:r w:rsidRPr="001E6377">
        <w:rPr>
          <w:rFonts w:eastAsia="Times New Roman" w:cs="Times New Roman"/>
          <w:color w:val="auto"/>
          <w:szCs w:val="20"/>
        </w:rPr>
        <w:t>“The Safeguarding Recommendations note also that FERPA does not require an educational agency or institution to notify students that information from their education records was stolen or otherwise subject to an unauthorized release, although it does require the agency or institution to maintain a record of each disclosure. 34 CFR § 99.32(a)(1). However, student notification may be required in these circumstances for postsecondary institutions under the Federal Trade Commission's Standards for Insuring the Security, Confidentiality, Integrity and Protection of Customer Records and Information (‘Safeguards Rule’) in 16 CFR part 314. In any case, direct student notification may be advisable if the compromised data includes student SSNs and other identifying information that could lead to identity theft.”</w:t>
      </w:r>
      <w:r w:rsidR="00B16014">
        <w:rPr>
          <w:rFonts w:eastAsia="Times New Roman" w:cs="Times New Roman"/>
          <w:color w:val="auto"/>
          <w:szCs w:val="20"/>
        </w:rPr>
        <w:t xml:space="preserve"> </w:t>
      </w:r>
      <w:r w:rsidRPr="001E6377">
        <w:rPr>
          <w:rFonts w:eastAsia="Times New Roman" w:cs="Times New Roman"/>
          <w:color w:val="auto"/>
          <w:szCs w:val="20"/>
        </w:rPr>
        <w:t xml:space="preserve"> </w:t>
      </w:r>
      <w:hyperlink r:id="rId17" w:history="1">
        <w:r w:rsidR="0083436E" w:rsidRPr="0083436E">
          <w:rPr>
            <w:rStyle w:val="Hyperlink"/>
            <w:rFonts w:eastAsia="Times New Roman" w:cs="Times New Roman"/>
            <w:i/>
            <w:color w:val="0000FF"/>
            <w:szCs w:val="20"/>
          </w:rPr>
          <w:t>FPCO Letter to Tobias</w:t>
        </w:r>
        <w:r w:rsidR="0083436E" w:rsidRPr="0083436E">
          <w:rPr>
            <w:rStyle w:val="Hyperlink"/>
            <w:rFonts w:eastAsia="Times New Roman" w:cs="Times New Roman"/>
            <w:color w:val="0000FF"/>
            <w:szCs w:val="20"/>
          </w:rPr>
          <w:t xml:space="preserve"> (May 8, 2015)</w:t>
        </w:r>
      </w:hyperlink>
      <w:r w:rsidRPr="001E6377">
        <w:rPr>
          <w:rFonts w:eastAsia="Times New Roman" w:cs="Times New Roman"/>
          <w:color w:val="auto"/>
          <w:szCs w:val="20"/>
        </w:rPr>
        <w:t xml:space="preserve">.  </w:t>
      </w:r>
    </w:p>
    <w:p w14:paraId="31B4D21C" w14:textId="77777777" w:rsidR="001E6377" w:rsidRPr="001E6377" w:rsidRDefault="001E6377" w:rsidP="001E6377">
      <w:pPr>
        <w:spacing w:after="0" w:line="240" w:lineRule="auto"/>
        <w:jc w:val="both"/>
        <w:rPr>
          <w:rFonts w:eastAsia="Times New Roman" w:cs="Times New Roman"/>
          <w:color w:val="auto"/>
          <w:szCs w:val="20"/>
        </w:rPr>
      </w:pPr>
    </w:p>
    <w:p w14:paraId="00ED5078" w14:textId="73000BF3" w:rsidR="004E2A26" w:rsidRPr="004E2A26" w:rsidRDefault="004E2A26" w:rsidP="001E6377">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 xml:space="preserve">gh the implementation of the </w:t>
      </w:r>
      <w:r w:rsidR="00047243" w:rsidRPr="00047243">
        <w:rPr>
          <w:rFonts w:eastAsia="Times New Roman" w:cs="Times New Roman"/>
          <w:color w:val="auto"/>
          <w:szCs w:val="20"/>
          <w:shd w:val="clear" w:color="auto" w:fill="FFFFFF" w:themeFill="background1"/>
        </w:rPr>
        <w:t>member district</w:t>
      </w:r>
      <w:r w:rsidRPr="004E2A26">
        <w:rPr>
          <w:rFonts w:eastAsia="Times New Roman" w:cs="Times New Roman"/>
          <w:color w:val="auto"/>
          <w:szCs w:val="20"/>
        </w:rPr>
        <w:t xml:space="preserve"> policies and procedures as outlined in the </w:t>
      </w:r>
      <w:hyperlink r:id="rId18"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w:t>
      </w:r>
      <w:r w:rsidR="00047243">
        <w:rPr>
          <w:rFonts w:eastAsia="Times New Roman" w:cs="Times New Roman"/>
          <w:color w:val="auto"/>
          <w:szCs w:val="20"/>
        </w:rPr>
        <w:t>e member district</w:t>
      </w:r>
      <w:r w:rsidRPr="004E2A26">
        <w:rPr>
          <w:rFonts w:eastAsia="Times New Roman" w:cs="Times New Roman"/>
          <w:color w:val="auto"/>
          <w:szCs w:val="20"/>
        </w:rPr>
        <w:t xml:space="preserve"> ensures </w:t>
      </w:r>
      <w:r w:rsidR="00615562" w:rsidRPr="00615562">
        <w:rPr>
          <w:rFonts w:eastAsia="Times New Roman" w:cs="Times New Roman"/>
          <w:color w:val="auto"/>
          <w:szCs w:val="20"/>
        </w:rPr>
        <w:t xml:space="preserve">that the Special Education Eligibility folder is properly and securely maintained as required by the FERPA, </w:t>
      </w:r>
      <w:r w:rsidR="001A0E11">
        <w:rPr>
          <w:rFonts w:eastAsia="Times New Roman" w:cs="Times New Roman"/>
          <w:color w:val="auto"/>
          <w:szCs w:val="20"/>
        </w:rPr>
        <w:t>Individuals with Disabilities Education Act (</w:t>
      </w:r>
      <w:r w:rsidR="00615562" w:rsidRPr="00615562">
        <w:rPr>
          <w:rFonts w:eastAsia="Times New Roman" w:cs="Times New Roman"/>
          <w:color w:val="auto"/>
          <w:szCs w:val="20"/>
        </w:rPr>
        <w:t>IDEA</w:t>
      </w:r>
      <w:r w:rsidR="001A0E11">
        <w:rPr>
          <w:rFonts w:eastAsia="Times New Roman" w:cs="Times New Roman"/>
          <w:color w:val="auto"/>
          <w:szCs w:val="20"/>
        </w:rPr>
        <w:t>)</w:t>
      </w:r>
      <w:r w:rsidR="00615562" w:rsidRPr="00615562">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2B34CC55" w14:textId="77777777" w:rsidR="00E21132" w:rsidRPr="002045E8" w:rsidRDefault="00E21132" w:rsidP="001E6377">
      <w:pPr>
        <w:spacing w:after="0" w:line="240" w:lineRule="auto"/>
        <w:jc w:val="both"/>
        <w:rPr>
          <w:rFonts w:eastAsia="Times New Roman" w:cs="Times New Roman"/>
          <w:color w:val="auto"/>
          <w:szCs w:val="20"/>
        </w:rPr>
      </w:pPr>
    </w:p>
    <w:p w14:paraId="238FB053" w14:textId="77777777" w:rsidR="00DB231F" w:rsidRDefault="00EC28C8" w:rsidP="009415A3">
      <w:pPr>
        <w:spacing w:after="0" w:line="240" w:lineRule="auto"/>
        <w:rPr>
          <w:szCs w:val="20"/>
        </w:rPr>
      </w:pPr>
      <w:r>
        <w:rPr>
          <w:szCs w:val="20"/>
        </w:rPr>
        <w:pict w14:anchorId="21297446">
          <v:rect id="_x0000_i1025" style="width:468pt;height:3pt" o:hralign="center" o:hrstd="t" o:hrnoshade="t" o:hr="t" fillcolor="#0f3966 [3204]" stroked="f"/>
        </w:pict>
      </w:r>
    </w:p>
    <w:p w14:paraId="5A6C1E27" w14:textId="77777777" w:rsidR="009415A3" w:rsidRPr="00426C23" w:rsidRDefault="009415A3" w:rsidP="00C568D4">
      <w:pPr>
        <w:spacing w:after="0" w:line="240" w:lineRule="auto"/>
        <w:rPr>
          <w:color w:val="000000" w:themeColor="text1"/>
          <w:szCs w:val="20"/>
        </w:rPr>
      </w:pPr>
    </w:p>
    <w:p w14:paraId="3EBED7A5" w14:textId="3DCAA382" w:rsidR="00777EEE" w:rsidRDefault="00DB1CC6" w:rsidP="000E33CB">
      <w:pPr>
        <w:pStyle w:val="Heading3"/>
        <w:spacing w:before="0" w:line="240" w:lineRule="auto"/>
        <w:rPr>
          <w:rFonts w:ascii="Verdana" w:hAnsi="Verdana"/>
          <w:color w:val="auto"/>
          <w:sz w:val="20"/>
          <w:szCs w:val="20"/>
        </w:rPr>
      </w:pPr>
      <w:r w:rsidRPr="00777EEE">
        <w:rPr>
          <w:rFonts w:ascii="Verdana" w:eastAsia="Times New Roman" w:hAnsi="Verdana" w:cs="Times New Roman"/>
          <w:color w:val="auto"/>
          <w:sz w:val="20"/>
          <w:szCs w:val="20"/>
        </w:rPr>
        <w:t>RCSS</w:t>
      </w:r>
      <w:r w:rsidR="00CA440C" w:rsidRPr="00777EEE">
        <w:rPr>
          <w:rFonts w:ascii="Verdana" w:eastAsia="Times New Roman" w:hAnsi="Verdana" w:cs="Times New Roman"/>
          <w:color w:val="auto"/>
          <w:sz w:val="20"/>
          <w:szCs w:val="20"/>
        </w:rPr>
        <w:t xml:space="preserve"> maintains the special education eligibility Folders for all member districts in a secure location </w:t>
      </w:r>
      <w:r w:rsidR="00BF74CB" w:rsidRPr="00777EEE">
        <w:rPr>
          <w:rFonts w:ascii="Verdana" w:eastAsia="Times New Roman" w:hAnsi="Verdana" w:cs="Times New Roman"/>
          <w:color w:val="auto"/>
          <w:sz w:val="20"/>
          <w:szCs w:val="20"/>
        </w:rPr>
        <w:t>with locking file cabinets</w:t>
      </w:r>
      <w:r w:rsidR="00CA440C" w:rsidRPr="00777EEE">
        <w:rPr>
          <w:rFonts w:ascii="Verdana" w:eastAsia="Times New Roman" w:hAnsi="Verdana" w:cs="Times New Roman"/>
          <w:color w:val="auto"/>
          <w:sz w:val="20"/>
          <w:szCs w:val="20"/>
        </w:rPr>
        <w:t xml:space="preserve">. Folders contain </w:t>
      </w:r>
      <w:bookmarkStart w:id="0" w:name="_Toc65069399"/>
      <w:r w:rsidR="003951E8" w:rsidRPr="00777EEE">
        <w:rPr>
          <w:rFonts w:ascii="Verdana" w:eastAsia="Times New Roman" w:hAnsi="Verdana" w:cs="Times New Roman"/>
          <w:color w:val="auto"/>
          <w:sz w:val="20"/>
          <w:szCs w:val="20"/>
        </w:rPr>
        <w:t>r</w:t>
      </w:r>
      <w:r w:rsidR="003951E8" w:rsidRPr="00777EEE">
        <w:rPr>
          <w:rFonts w:ascii="Verdana" w:hAnsi="Verdana"/>
          <w:color w:val="auto"/>
          <w:sz w:val="20"/>
          <w:szCs w:val="20"/>
        </w:rPr>
        <w:t>ecords of each student referred to or receiving special education services, including referral, assessment, and reevaluation reports; enrollment and eligibility forms; admission, review, and dismissal (ARD) and transitional planning committee documentation; individual educational plans (IEP) and individual transitional plans (ITP); parental consent forms for testing and placement; and other records of services required under federal and state regulation.</w:t>
      </w:r>
    </w:p>
    <w:p w14:paraId="0924E458" w14:textId="77777777" w:rsidR="000E33CB" w:rsidRDefault="000E33CB" w:rsidP="00777EEE">
      <w:pPr>
        <w:pStyle w:val="Heading3"/>
        <w:spacing w:before="0" w:line="240" w:lineRule="auto"/>
        <w:rPr>
          <w:rFonts w:ascii="Verdana" w:hAnsi="Verdana"/>
          <w:color w:val="auto"/>
          <w:sz w:val="20"/>
          <w:szCs w:val="20"/>
        </w:rPr>
      </w:pPr>
    </w:p>
    <w:p w14:paraId="4890BBA1" w14:textId="572031D7" w:rsidR="00CA440C" w:rsidRDefault="00777EEE" w:rsidP="00777EEE">
      <w:pPr>
        <w:pStyle w:val="Heading3"/>
        <w:spacing w:before="0" w:line="240" w:lineRule="auto"/>
        <w:rPr>
          <w:rFonts w:ascii="Verdana" w:hAnsi="Verdana"/>
          <w:color w:val="auto"/>
          <w:sz w:val="20"/>
          <w:szCs w:val="20"/>
        </w:rPr>
      </w:pPr>
      <w:r>
        <w:rPr>
          <w:rFonts w:ascii="Verdana" w:hAnsi="Verdana"/>
          <w:color w:val="auto"/>
          <w:sz w:val="20"/>
          <w:szCs w:val="20"/>
        </w:rPr>
        <w:t xml:space="preserve">Cumulative Record Files: </w:t>
      </w:r>
      <w:r w:rsidR="00CA440C" w:rsidRPr="00777EEE">
        <w:rPr>
          <w:rFonts w:ascii="Verdana" w:hAnsi="Verdana"/>
          <w:color w:val="auto"/>
          <w:sz w:val="20"/>
          <w:szCs w:val="20"/>
        </w:rPr>
        <w:t>Cumulative record file</w:t>
      </w:r>
      <w:bookmarkEnd w:id="0"/>
      <w:r w:rsidR="00CA440C" w:rsidRPr="00777EEE">
        <w:rPr>
          <w:rFonts w:ascii="Verdana" w:hAnsi="Verdana"/>
          <w:color w:val="auto"/>
          <w:sz w:val="20"/>
          <w:szCs w:val="20"/>
        </w:rPr>
        <w:t>s are maintained by each member district.</w:t>
      </w:r>
    </w:p>
    <w:p w14:paraId="64B07E01" w14:textId="77777777" w:rsidR="000E33CB" w:rsidRDefault="000E33CB" w:rsidP="000E33CB">
      <w:pPr>
        <w:spacing w:after="0" w:line="240" w:lineRule="auto"/>
        <w:rPr>
          <w:color w:val="auto"/>
          <w:szCs w:val="20"/>
        </w:rPr>
      </w:pPr>
    </w:p>
    <w:p w14:paraId="342646C5" w14:textId="77777777" w:rsidR="009D25B3" w:rsidRDefault="00137255" w:rsidP="00777EEE">
      <w:pPr>
        <w:spacing w:after="0" w:line="240" w:lineRule="auto"/>
        <w:rPr>
          <w:color w:val="auto"/>
          <w:szCs w:val="20"/>
        </w:rPr>
      </w:pPr>
      <w:r w:rsidRPr="00777EEE">
        <w:rPr>
          <w:color w:val="auto"/>
          <w:szCs w:val="20"/>
        </w:rPr>
        <w:t xml:space="preserve">RCSS will maintain a record, kept with the eligibility file of each student, that indicates all individuals, agencies or organizations that have requested or obtained access to a student’s educational records collected, maintained or used under IDEA-Part B (except access by parents and authorized employees of the RCSS). The records shall include: </w:t>
      </w:r>
    </w:p>
    <w:p w14:paraId="2FC3728F" w14:textId="6F9995A1" w:rsidR="009D25B3" w:rsidRPr="009D25B3" w:rsidRDefault="00137255" w:rsidP="009D25B3">
      <w:pPr>
        <w:pStyle w:val="ListParagraph"/>
        <w:numPr>
          <w:ilvl w:val="0"/>
          <w:numId w:val="23"/>
        </w:numPr>
        <w:spacing w:before="0" w:after="0" w:line="240" w:lineRule="auto"/>
        <w:rPr>
          <w:color w:val="auto"/>
          <w:szCs w:val="20"/>
        </w:rPr>
      </w:pPr>
      <w:r w:rsidRPr="009D25B3">
        <w:rPr>
          <w:color w:val="auto"/>
          <w:szCs w:val="20"/>
        </w:rPr>
        <w:t xml:space="preserve">at least the name of the person or agency that made the request, </w:t>
      </w:r>
    </w:p>
    <w:p w14:paraId="66EFA23E" w14:textId="2EFE55E9" w:rsidR="009D25B3" w:rsidRPr="009D25B3" w:rsidRDefault="00137255" w:rsidP="009D25B3">
      <w:pPr>
        <w:pStyle w:val="ListParagraph"/>
        <w:numPr>
          <w:ilvl w:val="0"/>
          <w:numId w:val="23"/>
        </w:numPr>
        <w:spacing w:before="0" w:after="0" w:line="240" w:lineRule="auto"/>
        <w:rPr>
          <w:color w:val="auto"/>
          <w:szCs w:val="20"/>
        </w:rPr>
      </w:pPr>
      <w:r w:rsidRPr="009D25B3">
        <w:rPr>
          <w:color w:val="auto"/>
          <w:szCs w:val="20"/>
        </w:rPr>
        <w:t xml:space="preserve">the date access was given, and </w:t>
      </w:r>
    </w:p>
    <w:p w14:paraId="5906E762" w14:textId="509BFF2B" w:rsidR="009D25B3" w:rsidRPr="009D25B3" w:rsidRDefault="00137255" w:rsidP="009D25B3">
      <w:pPr>
        <w:pStyle w:val="ListParagraph"/>
        <w:numPr>
          <w:ilvl w:val="0"/>
          <w:numId w:val="23"/>
        </w:numPr>
        <w:spacing w:before="0" w:after="0" w:line="240" w:lineRule="auto"/>
        <w:rPr>
          <w:color w:val="auto"/>
          <w:szCs w:val="20"/>
        </w:rPr>
      </w:pPr>
      <w:r w:rsidRPr="009D25B3">
        <w:rPr>
          <w:color w:val="auto"/>
          <w:szCs w:val="20"/>
        </w:rPr>
        <w:t xml:space="preserve">the purpose for which the person or agency is authorized to use the records. </w:t>
      </w:r>
    </w:p>
    <w:p w14:paraId="3AD77C46" w14:textId="123010F3" w:rsidR="00137255" w:rsidRPr="00777EEE" w:rsidRDefault="00137255" w:rsidP="00777EEE">
      <w:pPr>
        <w:spacing w:after="0" w:line="240" w:lineRule="auto"/>
        <w:rPr>
          <w:color w:val="auto"/>
          <w:szCs w:val="20"/>
        </w:rPr>
      </w:pPr>
      <w:r w:rsidRPr="00777EEE">
        <w:rPr>
          <w:color w:val="auto"/>
          <w:szCs w:val="20"/>
        </w:rPr>
        <w:t xml:space="preserve">*If parts of the student eligibility folder are maintained in classrooms, access records are required if the folder contains information such as an ARD/IEP report, modification sheet(s), or any assessment reports. </w:t>
      </w:r>
    </w:p>
    <w:p w14:paraId="1E317B32" w14:textId="77777777" w:rsidR="00777EEE" w:rsidRPr="00777EEE" w:rsidRDefault="00777EEE" w:rsidP="009B6C9F">
      <w:pPr>
        <w:spacing w:after="0" w:line="240" w:lineRule="auto"/>
        <w:rPr>
          <w:color w:val="auto"/>
          <w:szCs w:val="20"/>
        </w:rPr>
      </w:pPr>
    </w:p>
    <w:p w14:paraId="346C5FF1" w14:textId="6B4FEAC1" w:rsidR="00137255" w:rsidRPr="00777EEE" w:rsidRDefault="00137255" w:rsidP="009B6C9F">
      <w:pPr>
        <w:spacing w:after="0" w:line="240" w:lineRule="auto"/>
        <w:rPr>
          <w:color w:val="auto"/>
          <w:szCs w:val="20"/>
        </w:rPr>
      </w:pPr>
      <w:r w:rsidRPr="00777EEE">
        <w:rPr>
          <w:color w:val="auto"/>
          <w:szCs w:val="20"/>
        </w:rPr>
        <w:t xml:space="preserve">The record of access will be maintained as long as RCSS maintains the student’s education record. The record of access shall be available only to parents, school officials responsible </w:t>
      </w:r>
      <w:r w:rsidRPr="00777EEE">
        <w:rPr>
          <w:color w:val="auto"/>
          <w:szCs w:val="20"/>
        </w:rPr>
        <w:lastRenderedPageBreak/>
        <w:t xml:space="preserve">for custody of the records, and those state and federal officials authorized to audit the operation of the system. </w:t>
      </w:r>
    </w:p>
    <w:p w14:paraId="73EDD3CA" w14:textId="77777777" w:rsidR="00777EEE" w:rsidRPr="00777EEE" w:rsidRDefault="00777EEE" w:rsidP="009B6C9F">
      <w:pPr>
        <w:spacing w:after="0" w:line="240" w:lineRule="auto"/>
        <w:rPr>
          <w:color w:val="auto"/>
          <w:szCs w:val="20"/>
        </w:rPr>
      </w:pPr>
    </w:p>
    <w:p w14:paraId="41E59F9F" w14:textId="4B2EA1EC" w:rsidR="00850B01" w:rsidRPr="00777EEE" w:rsidRDefault="00137255" w:rsidP="009B6C9F">
      <w:pPr>
        <w:spacing w:after="0" w:line="240" w:lineRule="auto"/>
        <w:rPr>
          <w:color w:val="auto"/>
          <w:szCs w:val="20"/>
        </w:rPr>
      </w:pPr>
      <w:r w:rsidRPr="00777EEE">
        <w:rPr>
          <w:color w:val="auto"/>
          <w:szCs w:val="20"/>
        </w:rPr>
        <w:t>Access Procedures: The cumulative record and special education legal folder shall be made available to the parent. Records may be reviewed during regular school hours upon request to the appropriate record custodian. The record custodian or designee shall be present to explain the record and to answer questions. The confidential nature of the student’s records shall be maintained at all times, and the records shall be restricted to use only in the of ices of the Superintendent, a principal, a counselor, or Special Education as designated by the appropriate record custodian. The original copy of the record or any document contained in the cumulative record shall not be removed from the school or the Special Education of ice.</w:t>
      </w:r>
    </w:p>
    <w:p w14:paraId="5706ADFB" w14:textId="364D4875" w:rsidR="003951E8" w:rsidRPr="00777EEE" w:rsidRDefault="003951E8" w:rsidP="009B6C9F">
      <w:pPr>
        <w:spacing w:after="0" w:line="240" w:lineRule="auto"/>
        <w:rPr>
          <w:color w:val="auto"/>
          <w:szCs w:val="20"/>
        </w:rPr>
      </w:pPr>
    </w:p>
    <w:p w14:paraId="33C2D31C" w14:textId="77777777" w:rsidR="003951E8" w:rsidRPr="00777EEE" w:rsidRDefault="003951E8" w:rsidP="009B6C9F">
      <w:pPr>
        <w:spacing w:after="0" w:line="240" w:lineRule="auto"/>
        <w:rPr>
          <w:color w:val="auto"/>
          <w:szCs w:val="20"/>
        </w:rPr>
      </w:pPr>
      <w:r w:rsidRPr="00777EEE">
        <w:rPr>
          <w:color w:val="auto"/>
          <w:szCs w:val="20"/>
        </w:rPr>
        <w:t>Retention Period: Cessation of services + 5 years.</w:t>
      </w:r>
    </w:p>
    <w:p w14:paraId="5D8BF9DB" w14:textId="77777777" w:rsidR="003951E8" w:rsidRPr="00777EEE" w:rsidRDefault="003951E8" w:rsidP="009B6C9F">
      <w:pPr>
        <w:spacing w:after="0" w:line="240" w:lineRule="auto"/>
        <w:rPr>
          <w:color w:val="auto"/>
          <w:szCs w:val="20"/>
        </w:rPr>
      </w:pPr>
    </w:p>
    <w:p w14:paraId="4DE174EA" w14:textId="5429AAD8" w:rsidR="003951E8" w:rsidRPr="00777EEE" w:rsidRDefault="003951E8" w:rsidP="009B6C9F">
      <w:pPr>
        <w:spacing w:after="0" w:line="240" w:lineRule="auto"/>
        <w:rPr>
          <w:color w:val="auto"/>
          <w:szCs w:val="20"/>
        </w:rPr>
      </w:pPr>
      <w:r w:rsidRPr="00777EEE">
        <w:rPr>
          <w:color w:val="auto"/>
          <w:szCs w:val="20"/>
        </w:rPr>
        <w:t>Retention Notes: a) It is an exception to the retention period given for this record group, that the following information must be retained PERMANENTLY in some form on each student in grades 9-12 participating in a special education program: name, last known address, student ID or Social Security number, grades, classes attended, and grade level and year completed. If an academic achievement record is created for the student and maintained among those for students in the regular population, it is not necessary for special education records custodians to maintain the prescribed information beyond 5 years after the cessation of services, provided that it is contained in the Academic Achievement Record. b) Prior to the destruction of any records in this record group, the eligible student or the parents of the student, as applicable, must be notified in accordance with federal regulation</w:t>
      </w:r>
    </w:p>
    <w:p w14:paraId="109697A5" w14:textId="77777777" w:rsidR="00777EEE" w:rsidRPr="00777EEE" w:rsidRDefault="00777EEE" w:rsidP="00C568D4">
      <w:pPr>
        <w:spacing w:after="120" w:line="240" w:lineRule="auto"/>
        <w:rPr>
          <w:rFonts w:cs="Calibri"/>
          <w:b/>
          <w:bCs/>
          <w:color w:val="auto"/>
          <w:szCs w:val="20"/>
        </w:rPr>
      </w:pPr>
    </w:p>
    <w:p w14:paraId="69718247" w14:textId="53D0E965" w:rsidR="00C568D4" w:rsidRPr="00836F45" w:rsidRDefault="00C568D4" w:rsidP="00C568D4">
      <w:pPr>
        <w:spacing w:after="120" w:line="240" w:lineRule="auto"/>
        <w:rPr>
          <w:rFonts w:cs="Calibri"/>
          <w:b/>
          <w:color w:val="000000" w:themeColor="text1"/>
          <w:szCs w:val="20"/>
        </w:rPr>
      </w:pPr>
      <w:r w:rsidRPr="00836F45">
        <w:rPr>
          <w:rFonts w:cs="Calibri"/>
          <w:b/>
          <w:bCs/>
          <w:color w:val="000000" w:themeColor="text1"/>
          <w:szCs w:val="20"/>
        </w:rPr>
        <w:t>S</w:t>
      </w:r>
      <w:r w:rsidR="00DF4D4A" w:rsidRPr="00836F45">
        <w:rPr>
          <w:rFonts w:cs="Calibri"/>
          <w:b/>
          <w:bCs/>
          <w:color w:val="000000" w:themeColor="text1"/>
          <w:szCs w:val="20"/>
        </w:rPr>
        <w:t>taff Responsible</w:t>
      </w:r>
      <w:r w:rsidRPr="00836F45">
        <w:rPr>
          <w:rFonts w:cs="Calibri"/>
          <w:b/>
          <w:color w:val="000000" w:themeColor="text1"/>
          <w:szCs w:val="20"/>
        </w:rPr>
        <w:t xml:space="preserve">:  </w:t>
      </w:r>
    </w:p>
    <w:p w14:paraId="429FCF3C" w14:textId="7603C079" w:rsidR="00C568D4" w:rsidRPr="00836F45" w:rsidRDefault="00C568D4" w:rsidP="00C568D4">
      <w:pPr>
        <w:spacing w:after="120" w:line="240" w:lineRule="auto"/>
        <w:ind w:firstLine="720"/>
        <w:contextualSpacing/>
        <w:rPr>
          <w:rFonts w:cs="Calibri"/>
          <w:color w:val="000000" w:themeColor="text1"/>
          <w:szCs w:val="20"/>
        </w:rPr>
      </w:pPr>
      <w:r w:rsidRPr="00836F45">
        <w:rPr>
          <w:rFonts w:cs="Calibri"/>
          <w:b/>
          <w:color w:val="000000" w:themeColor="text1"/>
          <w:szCs w:val="20"/>
        </w:rPr>
        <w:t xml:space="preserve">District Level: </w:t>
      </w:r>
      <w:r w:rsidRPr="00836F45">
        <w:rPr>
          <w:rFonts w:cs="Calibri"/>
          <w:color w:val="auto"/>
          <w:szCs w:val="20"/>
        </w:rPr>
        <w:t>Special Education Director</w:t>
      </w:r>
    </w:p>
    <w:p w14:paraId="07DE0ACA" w14:textId="77777777" w:rsidR="00C568D4" w:rsidRPr="00836F45" w:rsidRDefault="00C568D4" w:rsidP="00C568D4">
      <w:pPr>
        <w:spacing w:after="120" w:line="240" w:lineRule="auto"/>
        <w:ind w:firstLine="720"/>
        <w:contextualSpacing/>
        <w:rPr>
          <w:rFonts w:cs="Calibri"/>
          <w:color w:val="000000" w:themeColor="text1"/>
          <w:szCs w:val="20"/>
        </w:rPr>
      </w:pPr>
      <w:r w:rsidRPr="00836F45">
        <w:rPr>
          <w:rFonts w:cs="Calibri"/>
          <w:b/>
          <w:color w:val="000000" w:themeColor="text1"/>
          <w:szCs w:val="20"/>
        </w:rPr>
        <w:t>Campus Level:</w:t>
      </w:r>
      <w:r w:rsidRPr="00836F45">
        <w:rPr>
          <w:rFonts w:cs="Calibri"/>
          <w:color w:val="000000" w:themeColor="text1"/>
          <w:szCs w:val="20"/>
        </w:rPr>
        <w:t xml:space="preserve"> Principal/Office Staff/Diagnostician/File Clerk</w:t>
      </w:r>
    </w:p>
    <w:p w14:paraId="6C50A0A0" w14:textId="77777777" w:rsidR="00C568D4" w:rsidRPr="00836F45" w:rsidRDefault="00C568D4" w:rsidP="00C568D4">
      <w:pPr>
        <w:spacing w:after="0" w:line="240" w:lineRule="auto"/>
        <w:rPr>
          <w:rFonts w:cs="Calibri"/>
          <w:color w:val="000000"/>
          <w:szCs w:val="20"/>
        </w:rPr>
      </w:pPr>
    </w:p>
    <w:p w14:paraId="6C2F11A2" w14:textId="6BC06F80" w:rsidR="00C568D4" w:rsidRPr="00836F45" w:rsidRDefault="00C568D4" w:rsidP="00C568D4">
      <w:pPr>
        <w:spacing w:after="120" w:line="240" w:lineRule="auto"/>
        <w:rPr>
          <w:rFonts w:cs="Calibri"/>
          <w:b/>
          <w:color w:val="000000"/>
          <w:szCs w:val="20"/>
        </w:rPr>
      </w:pPr>
      <w:r w:rsidRPr="00836F45">
        <w:rPr>
          <w:rFonts w:cs="Calibri"/>
          <w:b/>
          <w:color w:val="000000"/>
          <w:szCs w:val="20"/>
        </w:rPr>
        <w:t>T</w:t>
      </w:r>
      <w:r w:rsidR="00DF4D4A" w:rsidRPr="00836F45">
        <w:rPr>
          <w:rFonts w:cs="Calibri"/>
          <w:b/>
          <w:color w:val="000000"/>
          <w:szCs w:val="20"/>
        </w:rPr>
        <w:t>imelines</w:t>
      </w:r>
      <w:r w:rsidRPr="00836F45">
        <w:rPr>
          <w:rFonts w:cs="Calibri"/>
          <w:b/>
          <w:color w:val="000000"/>
          <w:szCs w:val="20"/>
        </w:rPr>
        <w:t>:</w:t>
      </w:r>
    </w:p>
    <w:p w14:paraId="64C46943" w14:textId="43BB63B5" w:rsidR="00C568D4" w:rsidRPr="00836F45" w:rsidRDefault="00C568D4" w:rsidP="00C568D4">
      <w:pPr>
        <w:pStyle w:val="ListParagraph"/>
        <w:widowControl/>
        <w:numPr>
          <w:ilvl w:val="0"/>
          <w:numId w:val="22"/>
        </w:numPr>
        <w:suppressAutoHyphens w:val="0"/>
        <w:autoSpaceDE/>
        <w:autoSpaceDN/>
        <w:spacing w:before="0" w:after="120" w:line="240" w:lineRule="auto"/>
        <w:contextualSpacing/>
        <w:rPr>
          <w:rFonts w:ascii="Verdana" w:hAnsi="Verdana" w:cs="Calibri"/>
          <w:color w:val="000000"/>
          <w:sz w:val="20"/>
          <w:szCs w:val="20"/>
        </w:rPr>
      </w:pPr>
      <w:r w:rsidRPr="00836F45">
        <w:rPr>
          <w:rFonts w:ascii="Verdana" w:hAnsi="Verdana" w:cs="Calibri"/>
          <w:color w:val="000000"/>
          <w:sz w:val="20"/>
          <w:szCs w:val="20"/>
        </w:rPr>
        <w:t xml:space="preserve">Special education eligibility folder maintained for five years after </w:t>
      </w:r>
      <w:r w:rsidR="007913A1">
        <w:rPr>
          <w:rFonts w:ascii="Verdana" w:hAnsi="Verdana" w:cs="Calibri"/>
          <w:color w:val="000000"/>
          <w:sz w:val="20"/>
          <w:szCs w:val="20"/>
        </w:rPr>
        <w:t>cessation of services</w:t>
      </w:r>
      <w:r w:rsidRPr="00836F45">
        <w:rPr>
          <w:rFonts w:ascii="Verdana" w:hAnsi="Verdana" w:cs="Calibri"/>
          <w:color w:val="000000"/>
          <w:sz w:val="20"/>
          <w:szCs w:val="20"/>
        </w:rPr>
        <w:t xml:space="preserve">. </w:t>
      </w:r>
    </w:p>
    <w:p w14:paraId="5E072174" w14:textId="0E8CF4B6" w:rsidR="00C568D4" w:rsidRPr="00836F45" w:rsidRDefault="00C568D4" w:rsidP="00C568D4">
      <w:pPr>
        <w:spacing w:after="120" w:line="240" w:lineRule="auto"/>
        <w:rPr>
          <w:rFonts w:cs="Calibri"/>
          <w:b/>
          <w:color w:val="000000"/>
          <w:szCs w:val="20"/>
        </w:rPr>
      </w:pPr>
      <w:r w:rsidRPr="00836F45">
        <w:rPr>
          <w:rFonts w:cs="Calibri"/>
          <w:b/>
          <w:color w:val="000000"/>
          <w:szCs w:val="20"/>
        </w:rPr>
        <w:t>E</w:t>
      </w:r>
      <w:r w:rsidR="00DF4D4A" w:rsidRPr="00836F45">
        <w:rPr>
          <w:rFonts w:cs="Calibri"/>
          <w:b/>
          <w:color w:val="000000"/>
          <w:szCs w:val="20"/>
        </w:rPr>
        <w:t>vidence of Practice</w:t>
      </w:r>
      <w:r w:rsidRPr="00836F45">
        <w:rPr>
          <w:rFonts w:cs="Calibri"/>
          <w:b/>
          <w:color w:val="000000"/>
          <w:szCs w:val="20"/>
        </w:rPr>
        <w:t xml:space="preserve">: </w:t>
      </w:r>
    </w:p>
    <w:p w14:paraId="529B517B" w14:textId="77777777" w:rsidR="00C568D4" w:rsidRPr="00836F45" w:rsidRDefault="00C568D4" w:rsidP="00C568D4">
      <w:pPr>
        <w:pStyle w:val="ListParagraph"/>
        <w:numPr>
          <w:ilvl w:val="0"/>
          <w:numId w:val="22"/>
        </w:numPr>
        <w:spacing w:before="0" w:after="0" w:line="240" w:lineRule="auto"/>
        <w:rPr>
          <w:rFonts w:ascii="Verdana" w:hAnsi="Verdana" w:cs="Calibri"/>
          <w:color w:val="000000"/>
          <w:sz w:val="20"/>
          <w:szCs w:val="20"/>
        </w:rPr>
      </w:pPr>
      <w:r w:rsidRPr="00836F45">
        <w:rPr>
          <w:rFonts w:ascii="Verdana" w:hAnsi="Verdana" w:cs="Calibri"/>
          <w:color w:val="000000"/>
          <w:sz w:val="20"/>
          <w:szCs w:val="20"/>
        </w:rPr>
        <w:t>Folder access log</w:t>
      </w:r>
    </w:p>
    <w:p w14:paraId="2B91BC91" w14:textId="77777777" w:rsidR="00C568D4" w:rsidRPr="00836F45" w:rsidRDefault="00C568D4" w:rsidP="00C568D4">
      <w:pPr>
        <w:pStyle w:val="ListParagraph"/>
        <w:numPr>
          <w:ilvl w:val="0"/>
          <w:numId w:val="22"/>
        </w:numPr>
        <w:spacing w:before="0" w:after="0" w:line="240" w:lineRule="auto"/>
        <w:rPr>
          <w:rFonts w:ascii="Verdana" w:hAnsi="Verdana" w:cs="Calibri"/>
          <w:color w:val="000000"/>
          <w:sz w:val="20"/>
          <w:szCs w:val="20"/>
        </w:rPr>
      </w:pPr>
      <w:r w:rsidRPr="00836F45">
        <w:rPr>
          <w:rFonts w:ascii="Verdana" w:hAnsi="Verdana" w:cs="Calibri"/>
          <w:color w:val="000000"/>
          <w:sz w:val="20"/>
          <w:szCs w:val="20"/>
        </w:rPr>
        <w:t>Referral paperwork</w:t>
      </w:r>
    </w:p>
    <w:p w14:paraId="10FBDB33" w14:textId="77777777" w:rsidR="00C568D4" w:rsidRPr="00836F45" w:rsidRDefault="00C568D4" w:rsidP="00C568D4">
      <w:pPr>
        <w:pStyle w:val="ListParagraph"/>
        <w:numPr>
          <w:ilvl w:val="0"/>
          <w:numId w:val="22"/>
        </w:numPr>
        <w:spacing w:before="0" w:after="0" w:line="240" w:lineRule="auto"/>
        <w:rPr>
          <w:rFonts w:ascii="Verdana" w:hAnsi="Verdana" w:cs="Calibri"/>
          <w:color w:val="000000"/>
          <w:sz w:val="20"/>
          <w:szCs w:val="20"/>
        </w:rPr>
      </w:pPr>
      <w:r w:rsidRPr="00836F45">
        <w:rPr>
          <w:rFonts w:ascii="Verdana" w:hAnsi="Verdana" w:cs="Calibri"/>
          <w:color w:val="000000"/>
          <w:sz w:val="20"/>
          <w:szCs w:val="20"/>
        </w:rPr>
        <w:t>Copy of ARD Committee reports</w:t>
      </w:r>
    </w:p>
    <w:p w14:paraId="2914E2CF" w14:textId="77777777" w:rsidR="00C568D4" w:rsidRPr="00836F45" w:rsidRDefault="00C568D4" w:rsidP="00C568D4">
      <w:pPr>
        <w:pStyle w:val="ListParagraph"/>
        <w:numPr>
          <w:ilvl w:val="0"/>
          <w:numId w:val="22"/>
        </w:numPr>
        <w:spacing w:before="0" w:after="0" w:line="240" w:lineRule="auto"/>
        <w:rPr>
          <w:rFonts w:ascii="Verdana" w:hAnsi="Verdana" w:cs="Calibri"/>
          <w:color w:val="000000"/>
          <w:sz w:val="20"/>
          <w:szCs w:val="20"/>
        </w:rPr>
      </w:pPr>
      <w:r w:rsidRPr="00836F45">
        <w:rPr>
          <w:rFonts w:ascii="Verdana" w:hAnsi="Verdana" w:cs="Calibri"/>
          <w:color w:val="000000"/>
          <w:sz w:val="20"/>
          <w:szCs w:val="20"/>
        </w:rPr>
        <w:t>Copy of evaluation reports</w:t>
      </w:r>
    </w:p>
    <w:p w14:paraId="214DEA48" w14:textId="77777777" w:rsidR="00C568D4" w:rsidRPr="00836F45" w:rsidRDefault="00C568D4" w:rsidP="00C568D4">
      <w:pPr>
        <w:pStyle w:val="ListParagraph"/>
        <w:numPr>
          <w:ilvl w:val="0"/>
          <w:numId w:val="22"/>
        </w:numPr>
        <w:spacing w:before="0" w:after="0" w:line="240" w:lineRule="auto"/>
        <w:rPr>
          <w:rFonts w:ascii="Verdana" w:hAnsi="Verdana" w:cs="Calibri"/>
          <w:color w:val="000000"/>
          <w:sz w:val="20"/>
          <w:szCs w:val="20"/>
        </w:rPr>
      </w:pPr>
      <w:r w:rsidRPr="00836F45">
        <w:rPr>
          <w:rFonts w:ascii="Verdana" w:hAnsi="Verdana" w:cs="Calibri"/>
          <w:color w:val="000000"/>
          <w:sz w:val="20"/>
          <w:szCs w:val="20"/>
        </w:rPr>
        <w:t>Copy of consents</w:t>
      </w:r>
    </w:p>
    <w:p w14:paraId="03A4EF00" w14:textId="77777777" w:rsidR="00C568D4" w:rsidRPr="009A6612" w:rsidRDefault="00C568D4" w:rsidP="009B6C9F">
      <w:pPr>
        <w:spacing w:after="0" w:line="240" w:lineRule="auto"/>
        <w:rPr>
          <w:rFonts w:eastAsia="Times New Roman" w:cs="Times New Roman"/>
          <w:color w:val="auto"/>
          <w:szCs w:val="20"/>
        </w:rPr>
      </w:pPr>
    </w:p>
    <w:sectPr w:rsidR="00C568D4" w:rsidRPr="009A6612" w:rsidSect="00A15E59">
      <w:headerReference w:type="even" r:id="rId19"/>
      <w:headerReference w:type="default" r:id="rId20"/>
      <w:footerReference w:type="even" r:id="rId21"/>
      <w:footerReference w:type="default" r:id="rId22"/>
      <w:headerReference w:type="first" r:id="rId23"/>
      <w:footerReference w:type="first" r:id="rId24"/>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11A0A" w14:textId="77777777" w:rsidR="00EC28C8" w:rsidRDefault="00EC28C8">
      <w:pPr>
        <w:spacing w:after="0" w:line="240" w:lineRule="auto"/>
      </w:pPr>
      <w:r>
        <w:separator/>
      </w:r>
    </w:p>
  </w:endnote>
  <w:endnote w:type="continuationSeparator" w:id="0">
    <w:p w14:paraId="30EE704D" w14:textId="77777777" w:rsidR="00EC28C8" w:rsidRDefault="00EC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83C1" w14:textId="77777777" w:rsidR="00585EBC" w:rsidRDefault="00585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9"/>
      <w:gridCol w:w="6071"/>
    </w:tblGrid>
    <w:tr w:rsidR="00A15E59" w:rsidRPr="00CD22C5" w14:paraId="5A159C6E" w14:textId="77777777" w:rsidTr="007A30FA">
      <w:trPr>
        <w:jc w:val="center"/>
      </w:trPr>
      <w:tc>
        <w:tcPr>
          <w:tcW w:w="3348" w:type="dxa"/>
          <w:vAlign w:val="center"/>
        </w:tcPr>
        <w:p w14:paraId="323B7C1D" w14:textId="766D1D93"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9B6C9F">
            <w:rPr>
              <w:b w:val="0"/>
              <w:sz w:val="16"/>
              <w:szCs w:val="16"/>
            </w:rPr>
            <w:t>Procedures</w:t>
          </w:r>
        </w:p>
      </w:tc>
      <w:tc>
        <w:tcPr>
          <w:tcW w:w="6228" w:type="dxa"/>
          <w:vAlign w:val="center"/>
        </w:tcPr>
        <w:p w14:paraId="2F152ABF" w14:textId="77777777" w:rsidR="00A15E59" w:rsidRPr="009A1B8F" w:rsidRDefault="001E6377" w:rsidP="001E6377">
          <w:pPr>
            <w:pStyle w:val="Footer"/>
            <w:tabs>
              <w:tab w:val="left" w:pos="1260"/>
            </w:tabs>
            <w:jc w:val="right"/>
            <w:rPr>
              <w:sz w:val="16"/>
              <w:szCs w:val="16"/>
            </w:rPr>
          </w:pPr>
          <w:r>
            <w:rPr>
              <w:sz w:val="16"/>
              <w:szCs w:val="16"/>
            </w:rPr>
            <w:t>SPECIAL EDUCATION ELIGIBILITY FOLDER</w:t>
          </w:r>
        </w:p>
      </w:tc>
    </w:tr>
    <w:tr w:rsidR="00A15E59" w:rsidRPr="00CD22C5" w14:paraId="50287065" w14:textId="77777777" w:rsidTr="007A30FA">
      <w:trPr>
        <w:jc w:val="center"/>
      </w:trPr>
      <w:tc>
        <w:tcPr>
          <w:tcW w:w="3348" w:type="dxa"/>
          <w:vAlign w:val="center"/>
        </w:tcPr>
        <w:p w14:paraId="0A1F06E6" w14:textId="6311C10C"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047243" w:rsidRPr="00585EBC">
            <w:rPr>
              <w:b w:val="0"/>
              <w:sz w:val="16"/>
              <w:szCs w:val="16"/>
            </w:rPr>
            <w:t>08/202</w:t>
          </w:r>
          <w:r w:rsidR="00493AE3">
            <w:rPr>
              <w:b w:val="0"/>
              <w:sz w:val="16"/>
              <w:szCs w:val="16"/>
            </w:rPr>
            <w:t>5</w:t>
          </w:r>
          <w:bookmarkStart w:id="1" w:name="_GoBack"/>
          <w:bookmarkEnd w:id="1"/>
        </w:p>
      </w:tc>
      <w:tc>
        <w:tcPr>
          <w:tcW w:w="6228" w:type="dxa"/>
          <w:vAlign w:val="center"/>
        </w:tcPr>
        <w:p w14:paraId="63585E59"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4869A0">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869A0">
            <w:rPr>
              <w:b w:val="0"/>
              <w:noProof/>
              <w:sz w:val="16"/>
              <w:szCs w:val="16"/>
            </w:rPr>
            <w:t>2</w:t>
          </w:r>
          <w:r w:rsidRPr="00CD22C5">
            <w:rPr>
              <w:b w:val="0"/>
              <w:sz w:val="16"/>
              <w:szCs w:val="16"/>
            </w:rPr>
            <w:fldChar w:fldCharType="end"/>
          </w:r>
        </w:p>
      </w:tc>
    </w:tr>
  </w:tbl>
  <w:p w14:paraId="3A6CBA65"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2B5056CE" w14:textId="77777777" w:rsidTr="00CD22C5">
      <w:tc>
        <w:tcPr>
          <w:tcW w:w="4338" w:type="dxa"/>
          <w:vAlign w:val="center"/>
        </w:tcPr>
        <w:p w14:paraId="6BB944BC"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3D8ED36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2659DDA0" w14:textId="77777777" w:rsidTr="00CD22C5">
      <w:tc>
        <w:tcPr>
          <w:tcW w:w="4338" w:type="dxa"/>
          <w:vAlign w:val="center"/>
        </w:tcPr>
        <w:p w14:paraId="441EEE82"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1B0CA9D"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60980EE0"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C1B0" w14:textId="77777777" w:rsidR="00EC28C8" w:rsidRDefault="00EC28C8">
      <w:pPr>
        <w:spacing w:after="0" w:line="240" w:lineRule="auto"/>
      </w:pPr>
      <w:r>
        <w:separator/>
      </w:r>
    </w:p>
  </w:footnote>
  <w:footnote w:type="continuationSeparator" w:id="0">
    <w:p w14:paraId="1F787C4B" w14:textId="77777777" w:rsidR="00EC28C8" w:rsidRDefault="00EC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32D7" w14:textId="77777777" w:rsidR="00585EBC" w:rsidRDefault="00585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0A27E68E"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B8EA39F"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9B6C9F">
            <w:rPr>
              <w:sz w:val="24"/>
            </w:rPr>
            <w:t>PROCEDURES</w:t>
          </w:r>
        </w:p>
      </w:tc>
    </w:tr>
    <w:tr w:rsidR="00A15E59" w:rsidRPr="00A15E59" w14:paraId="0A6BF53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37C48D42" w14:textId="77777777" w:rsidR="00727C62" w:rsidRPr="00A15E59" w:rsidRDefault="001E6377" w:rsidP="001E6377">
          <w:pPr>
            <w:pStyle w:val="Header"/>
            <w:spacing w:before="0"/>
            <w:jc w:val="center"/>
            <w:rPr>
              <w:sz w:val="24"/>
            </w:rPr>
          </w:pPr>
          <w:r>
            <w:rPr>
              <w:sz w:val="24"/>
            </w:rPr>
            <w:t>SPECIAL EDUCATION ELIGIBILITY FOLDER</w:t>
          </w:r>
        </w:p>
      </w:tc>
    </w:tr>
    <w:tr w:rsidR="00A15E59" w:rsidRPr="00A15E59" w14:paraId="581CC16C"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DB41883" w14:textId="78DA229A" w:rsidR="00A15E59" w:rsidRDefault="00A15E59" w:rsidP="0017202D">
          <w:pPr>
            <w:pStyle w:val="Header"/>
            <w:spacing w:before="0"/>
            <w:jc w:val="left"/>
            <w:rPr>
              <w:b w:val="0"/>
            </w:rPr>
          </w:pPr>
        </w:p>
        <w:p w14:paraId="6AAC2450" w14:textId="14AA85C8" w:rsidR="002839EA" w:rsidRPr="00A15E59" w:rsidRDefault="002839EA" w:rsidP="0017202D">
          <w:pPr>
            <w:pStyle w:val="Header"/>
            <w:spacing w:before="0"/>
            <w:jc w:val="left"/>
          </w:pPr>
          <w:r>
            <w:t>Robertson County Special Services</w:t>
          </w:r>
        </w:p>
      </w:tc>
      <w:tc>
        <w:tcPr>
          <w:tcW w:w="1710" w:type="dxa"/>
          <w:vAlign w:val="center"/>
        </w:tcPr>
        <w:p w14:paraId="68F9F444" w14:textId="636E6F32"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62353B93"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2EF7" w14:textId="77777777" w:rsidR="00585EBC" w:rsidRDefault="00585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E045A"/>
    <w:multiLevelType w:val="hybridMultilevel"/>
    <w:tmpl w:val="5BD6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AC1D57"/>
    <w:multiLevelType w:val="multilevel"/>
    <w:tmpl w:val="164CC3C4"/>
    <w:lvl w:ilvl="0">
      <w:start w:val="1"/>
      <w:numFmt w:val="decimal"/>
      <w:pStyle w:val="ListParagraph"/>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75E95"/>
    <w:multiLevelType w:val="hybridMultilevel"/>
    <w:tmpl w:val="AD0ACB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CB07942"/>
    <w:multiLevelType w:val="hybridMultilevel"/>
    <w:tmpl w:val="189A4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0D282B"/>
    <w:multiLevelType w:val="hybridMultilevel"/>
    <w:tmpl w:val="FFF2A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66469"/>
    <w:multiLevelType w:val="hybridMultilevel"/>
    <w:tmpl w:val="B2A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9"/>
  </w:num>
  <w:num w:numId="15">
    <w:abstractNumId w:val="15"/>
  </w:num>
  <w:num w:numId="16">
    <w:abstractNumId w:val="13"/>
  </w:num>
  <w:num w:numId="17">
    <w:abstractNumId w:val="9"/>
  </w:num>
  <w:num w:numId="18">
    <w:abstractNumId w:val="10"/>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47243"/>
    <w:rsid w:val="000C084D"/>
    <w:rsid w:val="000C551A"/>
    <w:rsid w:val="000E33CB"/>
    <w:rsid w:val="0010401E"/>
    <w:rsid w:val="001072DC"/>
    <w:rsid w:val="00137255"/>
    <w:rsid w:val="00140EB8"/>
    <w:rsid w:val="0017202D"/>
    <w:rsid w:val="001A0E11"/>
    <w:rsid w:val="001C6AC8"/>
    <w:rsid w:val="001E4ECB"/>
    <w:rsid w:val="001E6377"/>
    <w:rsid w:val="00203F82"/>
    <w:rsid w:val="002045E8"/>
    <w:rsid w:val="00271990"/>
    <w:rsid w:val="00275F7A"/>
    <w:rsid w:val="002839EA"/>
    <w:rsid w:val="00287E6A"/>
    <w:rsid w:val="003920EE"/>
    <w:rsid w:val="003951E8"/>
    <w:rsid w:val="003A53CA"/>
    <w:rsid w:val="00426C23"/>
    <w:rsid w:val="0042720F"/>
    <w:rsid w:val="00452D0C"/>
    <w:rsid w:val="00462709"/>
    <w:rsid w:val="004869A0"/>
    <w:rsid w:val="00493AE3"/>
    <w:rsid w:val="004E2A26"/>
    <w:rsid w:val="004F27C1"/>
    <w:rsid w:val="004F452C"/>
    <w:rsid w:val="00512E3A"/>
    <w:rsid w:val="00585EBC"/>
    <w:rsid w:val="005B2D1C"/>
    <w:rsid w:val="00615562"/>
    <w:rsid w:val="006E3F0A"/>
    <w:rsid w:val="00727C62"/>
    <w:rsid w:val="00777EEE"/>
    <w:rsid w:val="007913A1"/>
    <w:rsid w:val="007A30FA"/>
    <w:rsid w:val="007D5D41"/>
    <w:rsid w:val="0083436E"/>
    <w:rsid w:val="00836F45"/>
    <w:rsid w:val="00850B01"/>
    <w:rsid w:val="00884D94"/>
    <w:rsid w:val="008E1425"/>
    <w:rsid w:val="00924B11"/>
    <w:rsid w:val="009415A3"/>
    <w:rsid w:val="00962988"/>
    <w:rsid w:val="00976E6E"/>
    <w:rsid w:val="009A6612"/>
    <w:rsid w:val="009A7D64"/>
    <w:rsid w:val="009B6C9F"/>
    <w:rsid w:val="009D25B3"/>
    <w:rsid w:val="00A15E59"/>
    <w:rsid w:val="00A70B5E"/>
    <w:rsid w:val="00AF0D83"/>
    <w:rsid w:val="00AF4B0B"/>
    <w:rsid w:val="00B16014"/>
    <w:rsid w:val="00BE4D54"/>
    <w:rsid w:val="00BF06FA"/>
    <w:rsid w:val="00BF74CB"/>
    <w:rsid w:val="00C24BAB"/>
    <w:rsid w:val="00C2558A"/>
    <w:rsid w:val="00C568D4"/>
    <w:rsid w:val="00CA440C"/>
    <w:rsid w:val="00CD22C5"/>
    <w:rsid w:val="00CE5EEE"/>
    <w:rsid w:val="00D45E93"/>
    <w:rsid w:val="00D54A17"/>
    <w:rsid w:val="00DB1CC6"/>
    <w:rsid w:val="00DB231F"/>
    <w:rsid w:val="00DF4D4A"/>
    <w:rsid w:val="00DF5B9C"/>
    <w:rsid w:val="00E00450"/>
    <w:rsid w:val="00E009AB"/>
    <w:rsid w:val="00E164D4"/>
    <w:rsid w:val="00E21132"/>
    <w:rsid w:val="00EC28C8"/>
    <w:rsid w:val="00ED5C01"/>
    <w:rsid w:val="00EE1684"/>
    <w:rsid w:val="00F04CEA"/>
    <w:rsid w:val="00F11CFF"/>
    <w:rsid w:val="00F90F60"/>
    <w:rsid w:val="00FC4DAA"/>
    <w:rsid w:val="00FD34AD"/>
    <w:rsid w:val="00FE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D2BFB"/>
  <w15:docId w15:val="{9828245C-2221-4E70-9DB0-26D6FA41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A440C"/>
    <w:pPr>
      <w:keepNext/>
      <w:keepLines/>
      <w:spacing w:before="40" w:after="0"/>
      <w:outlineLvl w:val="2"/>
    </w:pPr>
    <w:rPr>
      <w:rFonts w:asciiTheme="majorHAnsi" w:eastAsiaTheme="majorEastAsia" w:hAnsiTheme="majorHAnsi" w:cstheme="majorBidi"/>
      <w:color w:val="071C3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character" w:customStyle="1" w:styleId="Heading3Char">
    <w:name w:val="Heading 3 Char"/>
    <w:basedOn w:val="DefaultParagraphFont"/>
    <w:link w:val="Heading3"/>
    <w:uiPriority w:val="9"/>
    <w:rsid w:val="00CA440C"/>
    <w:rPr>
      <w:rFonts w:asciiTheme="majorHAnsi" w:eastAsiaTheme="majorEastAsia" w:hAnsiTheme="majorHAnsi" w:cstheme="majorBidi"/>
      <w:color w:val="071C32" w:themeColor="accent1" w:themeShade="7F"/>
    </w:rPr>
  </w:style>
  <w:style w:type="character" w:customStyle="1" w:styleId="ListParagraphChar">
    <w:name w:val="List Paragraph Char"/>
    <w:aliases w:val="Numbered List Paragraph Char"/>
    <w:link w:val="ListParagraph"/>
    <w:uiPriority w:val="34"/>
    <w:locked/>
    <w:rsid w:val="00CA440C"/>
    <w:rPr>
      <w:sz w:val="22"/>
      <w:szCs w:val="22"/>
    </w:rPr>
  </w:style>
  <w:style w:type="paragraph" w:styleId="ListParagraph">
    <w:name w:val="List Paragraph"/>
    <w:aliases w:val="Numbered List Paragraph"/>
    <w:basedOn w:val="Normal"/>
    <w:link w:val="ListParagraphChar"/>
    <w:uiPriority w:val="34"/>
    <w:qFormat/>
    <w:rsid w:val="00CA440C"/>
    <w:pPr>
      <w:widowControl w:val="0"/>
      <w:numPr>
        <w:numId w:val="20"/>
      </w:numPr>
      <w:suppressAutoHyphens/>
      <w:autoSpaceDE w:val="0"/>
      <w:autoSpaceDN w:val="0"/>
      <w:spacing w:before="240" w:after="240" w:line="36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5764">
      <w:bodyDiv w:val="1"/>
      <w:marLeft w:val="0"/>
      <w:marRight w:val="0"/>
      <w:marTop w:val="0"/>
      <w:marBottom w:val="0"/>
      <w:divBdr>
        <w:top w:val="none" w:sz="0" w:space="0" w:color="auto"/>
        <w:left w:val="none" w:sz="0" w:space="0" w:color="auto"/>
        <w:bottom w:val="none" w:sz="0" w:space="0" w:color="auto"/>
        <w:right w:val="none" w:sz="0" w:space="0" w:color="auto"/>
      </w:divBdr>
    </w:div>
    <w:div w:id="1060639106">
      <w:bodyDiv w:val="1"/>
      <w:marLeft w:val="0"/>
      <w:marRight w:val="0"/>
      <w:marTop w:val="0"/>
      <w:marBottom w:val="0"/>
      <w:divBdr>
        <w:top w:val="none" w:sz="0" w:space="0" w:color="auto"/>
        <w:left w:val="none" w:sz="0" w:space="0" w:color="auto"/>
        <w:bottom w:val="none" w:sz="0" w:space="0" w:color="auto"/>
        <w:right w:val="none" w:sz="0" w:space="0" w:color="auto"/>
      </w:divBdr>
    </w:div>
    <w:div w:id="14127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0&amp;DT=G&amp;LID=en" TargetMode="External"/><Relationship Id="rId13" Type="http://schemas.openxmlformats.org/officeDocument/2006/relationships/hyperlink" Target="http://fw.esc18.net/FrameworkAuthoringSystem/Documents/AdditionalResources/FPCO%20Tobias%205.8.2015.pdf" TargetMode="External"/><Relationship Id="rId18" Type="http://schemas.openxmlformats.org/officeDocument/2006/relationships/hyperlink" Target="http://framework.esc18.net/display/Webforms/LandingPage.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hitehouse.gov/sites/default/files/omb/memoranda/fy2007/m07-16.pdf" TargetMode="External"/><Relationship Id="rId17" Type="http://schemas.openxmlformats.org/officeDocument/2006/relationships/hyperlink" Target="http://fw.esc18.net/FrameworkAuthoringSystem/Documents/AdditionalResources/FPCO%20Tobias%205.8.201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w.esc18.net/FrameworkAuthoringSystem/Documents/AdditionalResources/FPCO%20Tobias%205.8.201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SpecialPublications/NIST.SP.800-53r4.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2.ed.gov/about/offices/list/oig/misused/victim.html" TargetMode="External"/><Relationship Id="rId23" Type="http://schemas.openxmlformats.org/officeDocument/2006/relationships/header" Target="header3.xml"/><Relationship Id="rId10" Type="http://schemas.openxmlformats.org/officeDocument/2006/relationships/hyperlink" Target="http://nvlpubs.nist.gov/nistpubs/Legacy/SP/nistspecialpublication800-10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w.esc18.net/FrameworkAuthoringSystem/Documents/AdditionalResources/FPCO%20Tobias%205.8.2015.pdf" TargetMode="External"/><Relationship Id="rId14" Type="http://schemas.openxmlformats.org/officeDocument/2006/relationships/hyperlink" Target="http://www2.ed.gov/about/offices/list/oig/misused/idtheft.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6F757C5-4938-4396-867F-21CFB74D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22</cp:revision>
  <cp:lastPrinted>2016-03-01T22:06:00Z</cp:lastPrinted>
  <dcterms:created xsi:type="dcterms:W3CDTF">2021-11-01T16:46:00Z</dcterms:created>
  <dcterms:modified xsi:type="dcterms:W3CDTF">2025-10-27T15:07:00Z</dcterms:modified>
</cp:coreProperties>
</file>