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FAC24"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01367C">
          <w:rPr>
            <w:rStyle w:val="Hyperlink"/>
            <w:szCs w:val="20"/>
          </w:rPr>
          <w:t>Transition Services</w:t>
        </w:r>
      </w:hyperlink>
      <w:r w:rsidRPr="008E1425">
        <w:rPr>
          <w:color w:val="000000" w:themeColor="text1"/>
          <w:szCs w:val="20"/>
        </w:rPr>
        <w:t xml:space="preserve"> </w:t>
      </w:r>
    </w:p>
    <w:p w14:paraId="5BDBCC26" w14:textId="5F0C4405"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E73801">
        <w:rPr>
          <w:color w:val="000000" w:themeColor="text1"/>
          <w:szCs w:val="20"/>
        </w:rPr>
        <w:t>Admission, Review, and Dismissal Committee</w:t>
      </w:r>
      <w:r w:rsidR="009415A3">
        <w:rPr>
          <w:color w:val="000099"/>
          <w:szCs w:val="20"/>
        </w:rPr>
        <w:tab/>
      </w:r>
      <w:r w:rsidR="001806C6">
        <w:rPr>
          <w:color w:val="000000" w:themeColor="text1"/>
          <w:sz w:val="12"/>
          <w:szCs w:val="12"/>
        </w:rPr>
        <w:t>Template update Feb 2018</w:t>
      </w:r>
    </w:p>
    <w:p w14:paraId="1A33BD60" w14:textId="77777777" w:rsidR="00D46B8E" w:rsidRDefault="00D46B8E" w:rsidP="00D46B8E">
      <w:pPr>
        <w:spacing w:after="0" w:line="240" w:lineRule="auto"/>
        <w:jc w:val="both"/>
        <w:rPr>
          <w:rFonts w:eastAsia="Times New Roman" w:cs="Times New Roman"/>
          <w:color w:val="auto"/>
          <w:szCs w:val="20"/>
        </w:rPr>
      </w:pPr>
    </w:p>
    <w:p w14:paraId="4DF4D11C"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 xml:space="preserve">“We do not believe it is necessary to change the definition of transition services because the definition is written broadly to include a range of services, including vocational and career training that are needed to meet the individual needs of a child with a disability. The definition clearly states that decisions regarding transition services must be made on the basis of the child’s individual needs, </w:t>
      </w:r>
      <w:proofErr w:type="gramStart"/>
      <w:r w:rsidRPr="0001367C">
        <w:rPr>
          <w:rFonts w:eastAsia="Times New Roman" w:cs="Tahoma"/>
          <w:color w:val="000000"/>
          <w:szCs w:val="20"/>
        </w:rPr>
        <w:t>taking into account</w:t>
      </w:r>
      <w:proofErr w:type="gramEnd"/>
      <w:r w:rsidRPr="0001367C">
        <w:rPr>
          <w:rFonts w:eastAsia="Times New Roman" w:cs="Tahoma"/>
          <w:color w:val="000000"/>
          <w:szCs w:val="20"/>
        </w:rPr>
        <w:t xml:space="preserve"> the child’s strengths, preferences, and interests. As with all special education and related services, the student’s [individualized education program] IEP Team determines the transition services that are needed to provide [free appropriate public education] FAPE to a child with a disability based on the needs of the child, not on the disability category or severity of the disability. We do not believe further clarification is necessary.”  71 Fed. Reg. 46579 (August 14, 2006).</w:t>
      </w:r>
    </w:p>
    <w:p w14:paraId="4406F2B8" w14:textId="77777777" w:rsidR="0001367C" w:rsidRPr="0001367C" w:rsidRDefault="0001367C" w:rsidP="0001367C">
      <w:pPr>
        <w:spacing w:after="0" w:line="240" w:lineRule="auto"/>
        <w:jc w:val="both"/>
        <w:rPr>
          <w:rFonts w:eastAsia="Times New Roman" w:cs="Tahoma"/>
          <w:color w:val="000000"/>
          <w:szCs w:val="20"/>
        </w:rPr>
      </w:pPr>
    </w:p>
    <w:p w14:paraId="599A44A0"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“[T]he only area in which postsecondary goals are not required in the IEP is in the area of independent living skills. Goals in the area of independent living are required only if appropriate. It is up to the child’s IEP Team to determine whether IEP goals related to the development of independent living skills are appropriate and necessary for the child to receive FAPE.”  71 Fed. Reg. 46668 (August 14, 2006).</w:t>
      </w:r>
    </w:p>
    <w:p w14:paraId="0E47886B" w14:textId="77777777" w:rsidR="0001367C" w:rsidRPr="0001367C" w:rsidRDefault="0001367C" w:rsidP="0001367C">
      <w:pPr>
        <w:spacing w:after="0" w:line="240" w:lineRule="auto"/>
        <w:jc w:val="both"/>
        <w:rPr>
          <w:rFonts w:eastAsia="Times New Roman" w:cs="Tahoma"/>
          <w:color w:val="000000"/>
          <w:szCs w:val="20"/>
        </w:rPr>
      </w:pPr>
    </w:p>
    <w:p w14:paraId="69491FA0"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 xml:space="preserve">“Regarding postsecondary goals related to training and education, the IDEA and its implementing regulations do not define the terms ‘training’ and ‘education.’  However, the areas of training and education can reasonably be interpreted as overlapping in certain instances.  In determining whether postsecondary goals in the areas of training and education overlap, the IEP Team must consider the unique needs of each individual student with a disability, in light of his or her plans after leaving high school.  If the IEP Team determines that separate postsecondary goals in the areas of training and education would not result in the need for distinct skills for the student after leaving high school, the IEP Team can combine the training and education goals of the student into one or more postsecondary goals addressing those areas.  For example, for a student whose postsecondary goal is teacher certification, any program providing teacher certification would include education as well as training.  Similarly, a student with a disability who enrolls in a postsecondary program in engineering would be obtaining both education and occupational training in the program.  The same is true for students with disabilities enrolled in programs for doctors, lawyers, accountants, technologists, physical therapists, medical technicians, mechanics, computer programmers, etc.  Thus, in some instances, it would be permissible for the IEP to include a combined postsecondary goal or goals in the areas of training and education to address a student’s postsecondary plans, if determined appropriate by the IEP Team.  This guidance, however, is not intended to prohibit the IEP Team from developing separate postsecondary goals in the areas related to training and education in a student’s IEP, if deemed appropriate by the IEP Team, in light of the student’s postsecondary plans.  On the other hand, because employment is a distinct activity from the areas related to training and education, each student’s IEP must include a separate postsecondary goal in the area of employment.”  </w:t>
      </w:r>
      <w:hyperlink r:id="rId9" w:history="1">
        <w:r w:rsidRPr="004A69EA">
          <w:rPr>
            <w:rStyle w:val="Hyperlink"/>
            <w:rFonts w:eastAsia="Times New Roman" w:cs="Tahoma"/>
            <w:i/>
            <w:szCs w:val="20"/>
          </w:rPr>
          <w:t xml:space="preserve">OSERS Questions </w:t>
        </w:r>
        <w:r w:rsidR="00971185">
          <w:rPr>
            <w:rStyle w:val="Hyperlink"/>
            <w:rFonts w:eastAsia="Times New Roman" w:cs="Tahoma"/>
            <w:i/>
            <w:szCs w:val="20"/>
          </w:rPr>
          <w:t>and</w:t>
        </w:r>
        <w:r w:rsidRPr="004A69EA">
          <w:rPr>
            <w:rStyle w:val="Hyperlink"/>
            <w:rFonts w:eastAsia="Times New Roman" w:cs="Tahoma"/>
            <w:i/>
            <w:szCs w:val="20"/>
          </w:rPr>
          <w:t xml:space="preserve"> Answers on Secondary Transition</w:t>
        </w:r>
        <w:r w:rsidRPr="0001367C">
          <w:rPr>
            <w:rStyle w:val="Hyperlink"/>
            <w:rFonts w:eastAsia="Times New Roman" w:cs="Tahoma"/>
            <w:szCs w:val="20"/>
          </w:rPr>
          <w:t xml:space="preserve"> (Revised September 2011)</w:t>
        </w:r>
      </w:hyperlink>
      <w:r w:rsidRPr="0001367C">
        <w:rPr>
          <w:rFonts w:eastAsia="Times New Roman" w:cs="Tahoma"/>
          <w:color w:val="000000"/>
          <w:szCs w:val="20"/>
        </w:rPr>
        <w:t>.</w:t>
      </w:r>
    </w:p>
    <w:p w14:paraId="354F2427" w14:textId="77777777" w:rsidR="0001367C" w:rsidRPr="0001367C" w:rsidRDefault="0001367C" w:rsidP="0001367C">
      <w:pPr>
        <w:spacing w:after="0" w:line="240" w:lineRule="auto"/>
        <w:jc w:val="both"/>
        <w:rPr>
          <w:rFonts w:eastAsia="Times New Roman" w:cs="Tahoma"/>
          <w:color w:val="000000"/>
          <w:szCs w:val="20"/>
        </w:rPr>
      </w:pPr>
    </w:p>
    <w:p w14:paraId="382ABCA4"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 xml:space="preserve">“The specific transition assessments used to determine appropriate measurable postsecondary goals will depend on the individual needs of the child, and are, therefore, best left to States and districts to determine on an individual basis. Therefore, there is no specific requirement that placement in various work environments be part of the assessment process.”  </w:t>
      </w:r>
      <w:hyperlink r:id="rId10" w:history="1">
        <w:r w:rsidRPr="004A69EA">
          <w:rPr>
            <w:rStyle w:val="Hyperlink"/>
            <w:rFonts w:eastAsia="Times New Roman" w:cs="Tahoma"/>
            <w:i/>
            <w:szCs w:val="20"/>
          </w:rPr>
          <w:t xml:space="preserve">OSEP Letter to Spitzer-Resnick, </w:t>
        </w:r>
        <w:proofErr w:type="spellStart"/>
        <w:r w:rsidRPr="004A69EA">
          <w:rPr>
            <w:rStyle w:val="Hyperlink"/>
            <w:rFonts w:eastAsia="Times New Roman" w:cs="Tahoma"/>
            <w:i/>
            <w:szCs w:val="20"/>
          </w:rPr>
          <w:t>Swedeen</w:t>
        </w:r>
        <w:proofErr w:type="spellEnd"/>
        <w:r w:rsidRPr="004A69EA">
          <w:rPr>
            <w:rStyle w:val="Hyperlink"/>
            <w:rFonts w:eastAsia="Times New Roman" w:cs="Tahoma"/>
            <w:i/>
            <w:szCs w:val="20"/>
          </w:rPr>
          <w:t>, and Pugh</w:t>
        </w:r>
        <w:r w:rsidRPr="0001367C">
          <w:rPr>
            <w:rStyle w:val="Hyperlink"/>
            <w:rFonts w:eastAsia="Times New Roman" w:cs="Tahoma"/>
            <w:szCs w:val="20"/>
          </w:rPr>
          <w:t xml:space="preserve"> (June 22, 2012)</w:t>
        </w:r>
      </w:hyperlink>
      <w:r w:rsidRPr="0001367C">
        <w:rPr>
          <w:rFonts w:eastAsia="Times New Roman" w:cs="Tahoma"/>
          <w:color w:val="000000"/>
          <w:szCs w:val="20"/>
        </w:rPr>
        <w:t>.</w:t>
      </w:r>
    </w:p>
    <w:p w14:paraId="5A93BC90" w14:textId="77777777" w:rsidR="0001367C" w:rsidRPr="0001367C" w:rsidRDefault="0001367C" w:rsidP="0001367C">
      <w:pPr>
        <w:spacing w:after="0" w:line="240" w:lineRule="auto"/>
        <w:jc w:val="both"/>
        <w:rPr>
          <w:rFonts w:eastAsia="Times New Roman" w:cs="Tahoma"/>
          <w:color w:val="000000"/>
          <w:szCs w:val="20"/>
        </w:rPr>
      </w:pPr>
    </w:p>
    <w:p w14:paraId="70B5CA1C"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lastRenderedPageBreak/>
        <w:t xml:space="preserve">“Work placement can be an appropriate transition service, depending on the individual needs of a student, but is not a required component of all IEPs that address transition services. If an IEP team determines that work placement is an appropriate transition service for a child, it must be included in the child's IEP.” </w:t>
      </w:r>
      <w:hyperlink r:id="rId11" w:history="1">
        <w:r w:rsidRPr="004A69EA">
          <w:rPr>
            <w:rStyle w:val="Hyperlink"/>
            <w:rFonts w:eastAsia="Times New Roman" w:cs="Tahoma"/>
            <w:i/>
            <w:szCs w:val="20"/>
          </w:rPr>
          <w:t xml:space="preserve">OSEP Letter to Spitzer-Resnick, </w:t>
        </w:r>
        <w:proofErr w:type="spellStart"/>
        <w:r w:rsidRPr="004A69EA">
          <w:rPr>
            <w:rStyle w:val="Hyperlink"/>
            <w:rFonts w:eastAsia="Times New Roman" w:cs="Tahoma"/>
            <w:i/>
            <w:szCs w:val="20"/>
          </w:rPr>
          <w:t>Swedeen</w:t>
        </w:r>
        <w:proofErr w:type="spellEnd"/>
        <w:r w:rsidRPr="004A69EA">
          <w:rPr>
            <w:rStyle w:val="Hyperlink"/>
            <w:rFonts w:eastAsia="Times New Roman" w:cs="Tahoma"/>
            <w:i/>
            <w:szCs w:val="20"/>
          </w:rPr>
          <w:t>, and Pugh</w:t>
        </w:r>
        <w:r w:rsidRPr="0001367C">
          <w:rPr>
            <w:rStyle w:val="Hyperlink"/>
            <w:rFonts w:eastAsia="Times New Roman" w:cs="Tahoma"/>
            <w:szCs w:val="20"/>
          </w:rPr>
          <w:t xml:space="preserve"> (June 22, 2012)</w:t>
        </w:r>
      </w:hyperlink>
      <w:r w:rsidRPr="0001367C">
        <w:rPr>
          <w:rFonts w:eastAsia="Times New Roman" w:cs="Tahoma"/>
          <w:color w:val="000000"/>
          <w:szCs w:val="20"/>
        </w:rPr>
        <w:t>.</w:t>
      </w:r>
    </w:p>
    <w:p w14:paraId="0917804C" w14:textId="77777777" w:rsidR="0001367C" w:rsidRPr="0001367C" w:rsidRDefault="0001367C" w:rsidP="0001367C">
      <w:pPr>
        <w:spacing w:after="0" w:line="240" w:lineRule="auto"/>
        <w:jc w:val="both"/>
        <w:rPr>
          <w:rFonts w:eastAsia="Times New Roman" w:cs="Tahoma"/>
          <w:color w:val="000000"/>
          <w:szCs w:val="20"/>
        </w:rPr>
      </w:pPr>
    </w:p>
    <w:p w14:paraId="65A19B47"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 xml:space="preserve">“[W]hen an IEP Team includes a work placement as part of the student's transition services, the IEP team must consider, and include in the IEP, as appropriate, any supplementary aids and services needed to enable the student to participate with other students with disabilities and nondisabled students in the work placement described in the IEP. The </w:t>
      </w:r>
      <w:r w:rsidR="00C62293">
        <w:rPr>
          <w:rFonts w:eastAsia="Times New Roman" w:cs="Tahoma"/>
          <w:color w:val="000000"/>
          <w:szCs w:val="20"/>
        </w:rPr>
        <w:t xml:space="preserve">[local educational agency] </w:t>
      </w:r>
      <w:r w:rsidRPr="0001367C">
        <w:rPr>
          <w:rFonts w:eastAsia="Times New Roman" w:cs="Tahoma"/>
          <w:color w:val="000000"/>
          <w:szCs w:val="20"/>
        </w:rPr>
        <w:t xml:space="preserve">LEA must provide any supplementary aids and services that are identified on the IEP.”  </w:t>
      </w:r>
      <w:hyperlink r:id="rId12" w:history="1">
        <w:r w:rsidRPr="004A69EA">
          <w:rPr>
            <w:rStyle w:val="Hyperlink"/>
            <w:rFonts w:eastAsia="Times New Roman" w:cs="Tahoma"/>
            <w:i/>
            <w:szCs w:val="20"/>
          </w:rPr>
          <w:t xml:space="preserve">OSEP Letter to Spitzer-Resnick, </w:t>
        </w:r>
        <w:proofErr w:type="spellStart"/>
        <w:r w:rsidRPr="004A69EA">
          <w:rPr>
            <w:rStyle w:val="Hyperlink"/>
            <w:rFonts w:eastAsia="Times New Roman" w:cs="Tahoma"/>
            <w:i/>
            <w:szCs w:val="20"/>
          </w:rPr>
          <w:t>Swedeen</w:t>
        </w:r>
        <w:proofErr w:type="spellEnd"/>
        <w:r w:rsidRPr="004A69EA">
          <w:rPr>
            <w:rStyle w:val="Hyperlink"/>
            <w:rFonts w:eastAsia="Times New Roman" w:cs="Tahoma"/>
            <w:i/>
            <w:szCs w:val="20"/>
          </w:rPr>
          <w:t>, and Pugh</w:t>
        </w:r>
        <w:r w:rsidRPr="0001367C">
          <w:rPr>
            <w:rStyle w:val="Hyperlink"/>
            <w:rFonts w:eastAsia="Times New Roman" w:cs="Tahoma"/>
            <w:szCs w:val="20"/>
          </w:rPr>
          <w:t xml:space="preserve"> (June 22, 2012)</w:t>
        </w:r>
      </w:hyperlink>
      <w:r w:rsidRPr="0001367C">
        <w:rPr>
          <w:rFonts w:eastAsia="Times New Roman" w:cs="Tahoma"/>
          <w:color w:val="000000"/>
          <w:szCs w:val="20"/>
        </w:rPr>
        <w:t>.</w:t>
      </w:r>
    </w:p>
    <w:p w14:paraId="03CEF16D" w14:textId="77777777" w:rsidR="0001367C" w:rsidRPr="0001367C" w:rsidRDefault="0001367C" w:rsidP="0001367C">
      <w:pPr>
        <w:spacing w:after="0" w:line="240" w:lineRule="auto"/>
        <w:jc w:val="both"/>
        <w:rPr>
          <w:rFonts w:eastAsia="Times New Roman" w:cs="Tahoma"/>
          <w:color w:val="000000"/>
          <w:szCs w:val="20"/>
        </w:rPr>
      </w:pPr>
    </w:p>
    <w:p w14:paraId="35109507"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 xml:space="preserve">“If under State law, attending classes at a postsecondary institution, whether auditing or for credit, is considered secondary school education for students in grade 12 or below and the education provided meets applicable State standards, those services can be designated as transition services on a student's IEP and paid for with [Individuals with Disabilities Education Act] IDEA Part B funds, consistent with the student's entitlement to a free appropriate public education (FAPE). . . . If a State does not consider attendance at a postsecondary institution as part of secondary school education, Part B funds may not be used to pay for the services.”  </w:t>
      </w:r>
      <w:hyperlink r:id="rId13" w:history="1">
        <w:r w:rsidRPr="004A69EA">
          <w:rPr>
            <w:rStyle w:val="Hyperlink"/>
            <w:rFonts w:eastAsia="Times New Roman" w:cs="Tahoma"/>
            <w:i/>
            <w:szCs w:val="20"/>
          </w:rPr>
          <w:t>OSEP Letter to Dude</w:t>
        </w:r>
        <w:r w:rsidRPr="0001367C">
          <w:rPr>
            <w:rStyle w:val="Hyperlink"/>
            <w:rFonts w:eastAsia="Times New Roman" w:cs="Tahoma"/>
            <w:szCs w:val="20"/>
          </w:rPr>
          <w:t xml:space="preserve"> (September 3, 2013)</w:t>
        </w:r>
      </w:hyperlink>
      <w:r w:rsidRPr="0001367C">
        <w:rPr>
          <w:rFonts w:eastAsia="Times New Roman" w:cs="Tahoma"/>
          <w:color w:val="000000"/>
          <w:szCs w:val="20"/>
        </w:rPr>
        <w:t>.</w:t>
      </w:r>
    </w:p>
    <w:p w14:paraId="5831EA62" w14:textId="77777777" w:rsidR="0001367C" w:rsidRPr="0001367C" w:rsidRDefault="0001367C" w:rsidP="0001367C">
      <w:pPr>
        <w:spacing w:after="0" w:line="240" w:lineRule="auto"/>
        <w:jc w:val="both"/>
        <w:rPr>
          <w:rFonts w:eastAsia="Times New Roman" w:cs="Tahoma"/>
          <w:color w:val="000000"/>
          <w:szCs w:val="20"/>
        </w:rPr>
      </w:pPr>
    </w:p>
    <w:p w14:paraId="0DF99E53"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“Decisions related to the specific content of postsecondary goals and transition services are the responsibility of the IEP Team, the required members of which are identified in 34 CFR §</w:t>
      </w:r>
      <w:r w:rsidR="00C62293">
        <w:rPr>
          <w:rFonts w:eastAsia="Times New Roman" w:cs="Tahoma"/>
          <w:color w:val="000000"/>
          <w:szCs w:val="20"/>
        </w:rPr>
        <w:t> </w:t>
      </w:r>
      <w:r w:rsidRPr="0001367C">
        <w:rPr>
          <w:rFonts w:eastAsia="Times New Roman" w:cs="Tahoma"/>
          <w:color w:val="000000"/>
          <w:szCs w:val="20"/>
        </w:rPr>
        <w:t xml:space="preserve">300.321(a) and (b). The parent and the student are required IEP Team members at IEP Team meetings where transition services and postsecondary goals are discussed. The IEP Team must consider the student's needs, taking into account the student's strengths, preferences and interests. 34 CFR §§ 300.320(b)(2) and 300.43(a)(2). The IEP Team is required by 34 CFR § 300.324(a)(ii) to consider ‘the concerns of the parent for enhancing the education of their child;’ however, the IEP Team is not required to include a particular transition service or services in a student's IEP based solely on a parent's or student's request.”  </w:t>
      </w:r>
      <w:hyperlink r:id="rId14" w:history="1">
        <w:r w:rsidRPr="004A69EA">
          <w:rPr>
            <w:rStyle w:val="Hyperlink"/>
            <w:rFonts w:eastAsia="Times New Roman" w:cs="Tahoma"/>
            <w:i/>
            <w:szCs w:val="20"/>
          </w:rPr>
          <w:t>OSEP Letter to Dude</w:t>
        </w:r>
        <w:r w:rsidRPr="0001367C">
          <w:rPr>
            <w:rStyle w:val="Hyperlink"/>
            <w:rFonts w:eastAsia="Times New Roman" w:cs="Tahoma"/>
            <w:szCs w:val="20"/>
          </w:rPr>
          <w:t xml:space="preserve"> (September 3, 2013)</w:t>
        </w:r>
      </w:hyperlink>
      <w:r w:rsidRPr="0001367C">
        <w:rPr>
          <w:rFonts w:eastAsia="Times New Roman" w:cs="Tahoma"/>
          <w:color w:val="000000"/>
          <w:szCs w:val="20"/>
        </w:rPr>
        <w:t>.</w:t>
      </w:r>
    </w:p>
    <w:p w14:paraId="3C3B9F22" w14:textId="77777777" w:rsidR="0001367C" w:rsidRPr="0001367C" w:rsidRDefault="0001367C" w:rsidP="0001367C">
      <w:pPr>
        <w:spacing w:after="0" w:line="240" w:lineRule="auto"/>
        <w:jc w:val="both"/>
        <w:rPr>
          <w:rFonts w:eastAsia="Times New Roman" w:cs="Tahoma"/>
          <w:color w:val="000000"/>
          <w:szCs w:val="20"/>
        </w:rPr>
      </w:pPr>
    </w:p>
    <w:p w14:paraId="5654B20B"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 xml:space="preserve">“In general, IDEA requires that the special education and related services provided to a student under his or her IEP, including the transition services identified in the student's IEP, must be provided at public expense and at no cost to the parents. 34 CFR §§ 300.101 and 300.17. Whether the school district is obligated to provide, and pay for, transportation, tuition and/or a paraprofessional to attend classes with the student is a determination that must be made on an individual, case-by-case basis by the student's IEP Team.”  </w:t>
      </w:r>
      <w:hyperlink r:id="rId15" w:history="1">
        <w:r w:rsidRPr="004A69EA">
          <w:rPr>
            <w:rStyle w:val="Hyperlink"/>
            <w:rFonts w:eastAsia="Times New Roman" w:cs="Tahoma"/>
            <w:i/>
            <w:szCs w:val="20"/>
          </w:rPr>
          <w:t>OSEP Letter to Dude</w:t>
        </w:r>
        <w:r w:rsidRPr="0001367C">
          <w:rPr>
            <w:rStyle w:val="Hyperlink"/>
            <w:rFonts w:eastAsia="Times New Roman" w:cs="Tahoma"/>
            <w:szCs w:val="20"/>
          </w:rPr>
          <w:t xml:space="preserve"> (September 3, 2013)</w:t>
        </w:r>
      </w:hyperlink>
      <w:r w:rsidRPr="0001367C">
        <w:rPr>
          <w:rFonts w:eastAsia="Times New Roman" w:cs="Tahoma"/>
          <w:color w:val="000000"/>
          <w:szCs w:val="20"/>
        </w:rPr>
        <w:t>.</w:t>
      </w:r>
    </w:p>
    <w:p w14:paraId="0A3F2FE8" w14:textId="77777777" w:rsidR="0001367C" w:rsidRPr="0001367C" w:rsidRDefault="0001367C" w:rsidP="0001367C">
      <w:pPr>
        <w:spacing w:after="0" w:line="240" w:lineRule="auto"/>
        <w:jc w:val="both"/>
        <w:rPr>
          <w:rFonts w:eastAsia="Times New Roman" w:cs="Tahoma"/>
          <w:color w:val="000000"/>
          <w:szCs w:val="20"/>
        </w:rPr>
      </w:pPr>
    </w:p>
    <w:p w14:paraId="351D9DF1" w14:textId="77777777"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“There are inherent difficulties associated with reentry from a correctional facility to home or another community environment. Therefore, it is particularly important that public agencies comply with the IDEA requirements related to secondary transition (34 CFR § 300.320(b)).</w:t>
      </w:r>
      <w:r w:rsidRPr="0001367C">
        <w:rPr>
          <w:rFonts w:eastAsia="Times New Roman" w:cs="Tahoma"/>
          <w:color w:val="000000"/>
          <w:szCs w:val="20"/>
          <w:vertAlign w:val="superscript"/>
        </w:rPr>
        <w:t>30</w:t>
      </w:r>
    </w:p>
    <w:p w14:paraId="4C40E50A" w14:textId="77777777" w:rsidR="0001367C" w:rsidRPr="0001367C" w:rsidRDefault="0001367C" w:rsidP="0001367C">
      <w:pPr>
        <w:spacing w:after="0" w:line="240" w:lineRule="auto"/>
        <w:jc w:val="both"/>
        <w:rPr>
          <w:rFonts w:eastAsia="Times New Roman" w:cs="Tahoma"/>
          <w:color w:val="000000"/>
          <w:szCs w:val="20"/>
        </w:rPr>
      </w:pPr>
    </w:p>
    <w:p w14:paraId="709F9D34" w14:textId="77777777" w:rsidR="0001367C" w:rsidRPr="0001367C" w:rsidRDefault="0001367C" w:rsidP="00C62293">
      <w:pPr>
        <w:spacing w:after="0" w:line="240" w:lineRule="auto"/>
        <w:ind w:left="1080" w:right="720" w:hanging="360"/>
        <w:jc w:val="both"/>
        <w:rPr>
          <w:rFonts w:eastAsia="Times New Roman" w:cs="Tahoma"/>
          <w:color w:val="000000"/>
          <w:szCs w:val="20"/>
        </w:rPr>
      </w:pPr>
      <w:r w:rsidRPr="0001367C">
        <w:rPr>
          <w:rFonts w:eastAsia="Times New Roman" w:cs="Tahoma"/>
          <w:color w:val="000000"/>
          <w:szCs w:val="20"/>
          <w:vertAlign w:val="superscript"/>
        </w:rPr>
        <w:t>30</w:t>
      </w:r>
      <w:r w:rsidRPr="0001367C">
        <w:rPr>
          <w:rFonts w:eastAsia="Times New Roman" w:cs="Tahoma"/>
          <w:color w:val="000000"/>
          <w:szCs w:val="20"/>
          <w:vertAlign w:val="superscript"/>
        </w:rPr>
        <w:tab/>
      </w:r>
      <w:r w:rsidRPr="0001367C">
        <w:rPr>
          <w:rFonts w:eastAsia="Times New Roman" w:cs="Tahoma"/>
          <w:color w:val="000000"/>
          <w:szCs w:val="20"/>
        </w:rPr>
        <w:t>Transition services requirements are not applicable to students with disabilities in adult prisons and to students whose eligibility for IDEA services will end, because of their age, before they will be eligible to be released from prison based on consideration of their sentence and eligibility for early release (34 CFR § 300.324(d)(1)(ii)).”</w:t>
      </w:r>
      <w:r w:rsidR="004A69EA">
        <w:rPr>
          <w:rFonts w:eastAsia="Times New Roman" w:cs="Tahoma"/>
          <w:color w:val="000000"/>
          <w:szCs w:val="20"/>
        </w:rPr>
        <w:t xml:space="preserve"> </w:t>
      </w:r>
      <w:r w:rsidRPr="0001367C">
        <w:rPr>
          <w:rFonts w:eastAsia="Times New Roman" w:cs="Tahoma"/>
          <w:color w:val="000000"/>
          <w:szCs w:val="20"/>
        </w:rPr>
        <w:t xml:space="preserve"> </w:t>
      </w:r>
      <w:hyperlink r:id="rId16" w:history="1">
        <w:r w:rsidRPr="004A69EA">
          <w:rPr>
            <w:rStyle w:val="Hyperlink"/>
            <w:rFonts w:eastAsia="Times New Roman" w:cs="Tahoma"/>
            <w:i/>
            <w:szCs w:val="20"/>
          </w:rPr>
          <w:t>OSERS Dear Colleague Letter</w:t>
        </w:r>
        <w:r w:rsidRPr="0001367C">
          <w:rPr>
            <w:rStyle w:val="Hyperlink"/>
            <w:rFonts w:eastAsia="Times New Roman" w:cs="Tahoma"/>
            <w:szCs w:val="20"/>
          </w:rPr>
          <w:t xml:space="preserve"> (December 5, 2014)</w:t>
        </w:r>
      </w:hyperlink>
      <w:r w:rsidRPr="0001367C">
        <w:rPr>
          <w:rFonts w:eastAsia="Times New Roman" w:cs="Tahoma"/>
          <w:color w:val="000000"/>
          <w:szCs w:val="20"/>
        </w:rPr>
        <w:t>.</w:t>
      </w:r>
    </w:p>
    <w:p w14:paraId="365EB54C" w14:textId="77777777" w:rsidR="0001367C" w:rsidRPr="0001367C" w:rsidRDefault="0001367C" w:rsidP="0001367C">
      <w:pPr>
        <w:spacing w:after="0" w:line="240" w:lineRule="auto"/>
        <w:jc w:val="both"/>
        <w:rPr>
          <w:rFonts w:eastAsia="Times New Roman" w:cs="Tahoma"/>
          <w:color w:val="000000"/>
          <w:szCs w:val="20"/>
        </w:rPr>
      </w:pPr>
    </w:p>
    <w:p w14:paraId="6A5E038B" w14:textId="77777777" w:rsidR="0001367C" w:rsidRDefault="0001367C" w:rsidP="0001367C">
      <w:pPr>
        <w:spacing w:after="0" w:line="240" w:lineRule="auto"/>
        <w:jc w:val="both"/>
        <w:rPr>
          <w:rFonts w:eastAsia="Times New Roman" w:cs="Tahoma"/>
          <w:b/>
          <w:color w:val="000000"/>
          <w:szCs w:val="20"/>
          <w:u w:val="single"/>
        </w:rPr>
      </w:pPr>
      <w:r w:rsidRPr="0001367C">
        <w:rPr>
          <w:rFonts w:eastAsia="Times New Roman" w:cs="Tahoma"/>
          <w:b/>
          <w:color w:val="000000"/>
          <w:szCs w:val="20"/>
          <w:u w:val="single"/>
        </w:rPr>
        <w:t>Application Guidance</w:t>
      </w:r>
    </w:p>
    <w:p w14:paraId="33BACAA8" w14:textId="77777777" w:rsidR="0001367C" w:rsidRPr="0001367C" w:rsidRDefault="0001367C" w:rsidP="0001367C">
      <w:pPr>
        <w:spacing w:after="0" w:line="240" w:lineRule="auto"/>
        <w:jc w:val="both"/>
        <w:rPr>
          <w:rFonts w:eastAsia="Times New Roman" w:cs="Tahoma"/>
          <w:color w:val="000000"/>
          <w:szCs w:val="20"/>
        </w:rPr>
      </w:pPr>
    </w:p>
    <w:p w14:paraId="1FFD5CBC" w14:textId="77777777" w:rsidR="0001367C" w:rsidRPr="0001367C" w:rsidRDefault="00C2446A" w:rsidP="0001367C">
      <w:pPr>
        <w:numPr>
          <w:ilvl w:val="0"/>
          <w:numId w:val="22"/>
        </w:numPr>
        <w:spacing w:after="0" w:line="240" w:lineRule="auto"/>
        <w:jc w:val="both"/>
        <w:rPr>
          <w:rFonts w:eastAsia="Times New Roman" w:cs="Tahoma"/>
          <w:color w:val="000000"/>
          <w:szCs w:val="20"/>
        </w:rPr>
      </w:pPr>
      <w:hyperlink r:id="rId17" w:history="1">
        <w:r w:rsidR="0001367C" w:rsidRPr="0001367C">
          <w:rPr>
            <w:rStyle w:val="Hyperlink"/>
            <w:rFonts w:eastAsia="Times New Roman" w:cs="Tahoma"/>
            <w:szCs w:val="20"/>
          </w:rPr>
          <w:t>Secondary Transition Guidance</w:t>
        </w:r>
      </w:hyperlink>
      <w:r w:rsidR="0001367C" w:rsidRPr="0001367C">
        <w:rPr>
          <w:rFonts w:eastAsia="Times New Roman" w:cs="Tahoma"/>
          <w:color w:val="000000"/>
          <w:szCs w:val="20"/>
        </w:rPr>
        <w:t xml:space="preserve"> (TEA)</w:t>
      </w:r>
    </w:p>
    <w:p w14:paraId="55DB59A2" w14:textId="4E2EFA37" w:rsidR="0001367C" w:rsidRPr="0001367C" w:rsidRDefault="00C2446A" w:rsidP="0001367C">
      <w:pPr>
        <w:numPr>
          <w:ilvl w:val="0"/>
          <w:numId w:val="22"/>
        </w:numPr>
        <w:spacing w:after="0" w:line="240" w:lineRule="auto"/>
        <w:jc w:val="both"/>
        <w:rPr>
          <w:rFonts w:eastAsia="Times New Roman" w:cs="Tahoma"/>
          <w:color w:val="000000"/>
          <w:szCs w:val="20"/>
        </w:rPr>
      </w:pPr>
      <w:hyperlink r:id="rId18" w:history="1">
        <w:r w:rsidR="004F2C98">
          <w:rPr>
            <w:rStyle w:val="Hyperlink"/>
            <w:rFonts w:eastAsia="Times New Roman" w:cs="Tahoma"/>
            <w:szCs w:val="20"/>
          </w:rPr>
          <w:t>Transition in Texas</w:t>
        </w:r>
      </w:hyperlink>
      <w:r w:rsidR="0001367C" w:rsidRPr="0001367C">
        <w:rPr>
          <w:rFonts w:eastAsia="Times New Roman" w:cs="Tahoma"/>
          <w:color w:val="000000"/>
          <w:szCs w:val="20"/>
        </w:rPr>
        <w:t xml:space="preserve"> (Region 11 ESC)</w:t>
      </w:r>
    </w:p>
    <w:p w14:paraId="5B0A84AD" w14:textId="77777777" w:rsidR="0001367C" w:rsidRPr="0001367C" w:rsidRDefault="00C2446A" w:rsidP="0001367C">
      <w:pPr>
        <w:numPr>
          <w:ilvl w:val="0"/>
          <w:numId w:val="22"/>
        </w:numPr>
        <w:spacing w:after="0" w:line="240" w:lineRule="auto"/>
        <w:jc w:val="both"/>
        <w:rPr>
          <w:rFonts w:eastAsia="Times New Roman" w:cs="Tahoma"/>
          <w:color w:val="000000"/>
          <w:szCs w:val="20"/>
        </w:rPr>
      </w:pPr>
      <w:hyperlink r:id="rId19" w:history="1">
        <w:r w:rsidR="0001367C" w:rsidRPr="0001367C">
          <w:rPr>
            <w:rStyle w:val="Hyperlink"/>
            <w:rFonts w:eastAsia="Times New Roman" w:cs="Tahoma"/>
            <w:szCs w:val="20"/>
          </w:rPr>
          <w:t>General Information – SPP Indicator 13</w:t>
        </w:r>
      </w:hyperlink>
      <w:r w:rsidR="0001367C" w:rsidRPr="0001367C">
        <w:rPr>
          <w:rFonts w:eastAsia="Times New Roman" w:cs="Tahoma"/>
          <w:color w:val="000000"/>
          <w:szCs w:val="20"/>
        </w:rPr>
        <w:t xml:space="preserve"> (TEA)</w:t>
      </w:r>
    </w:p>
    <w:p w14:paraId="3D90BF1C" w14:textId="77777777" w:rsidR="0001367C" w:rsidRPr="0001367C" w:rsidRDefault="00C2446A" w:rsidP="0001367C">
      <w:pPr>
        <w:numPr>
          <w:ilvl w:val="0"/>
          <w:numId w:val="22"/>
        </w:numPr>
        <w:spacing w:after="0" w:line="240" w:lineRule="auto"/>
        <w:jc w:val="both"/>
        <w:rPr>
          <w:rFonts w:eastAsia="Times New Roman" w:cs="Tahoma"/>
          <w:color w:val="000000"/>
          <w:szCs w:val="20"/>
        </w:rPr>
      </w:pPr>
      <w:hyperlink r:id="rId20" w:history="1">
        <w:r w:rsidR="0001367C" w:rsidRPr="0001367C">
          <w:rPr>
            <w:rStyle w:val="Hyperlink"/>
            <w:rFonts w:eastAsia="Times New Roman" w:cs="Tahoma"/>
            <w:szCs w:val="20"/>
          </w:rPr>
          <w:t>Students with Disabilities Preparing for Postsecondary Education: Know Your Rights and Responsibilities</w:t>
        </w:r>
      </w:hyperlink>
      <w:r w:rsidR="0001367C" w:rsidRPr="0001367C">
        <w:rPr>
          <w:rFonts w:eastAsia="Times New Roman" w:cs="Tahoma"/>
          <w:color w:val="000000"/>
          <w:szCs w:val="20"/>
        </w:rPr>
        <w:t xml:space="preserve"> (OCR)</w:t>
      </w:r>
    </w:p>
    <w:p w14:paraId="75005BFA" w14:textId="77777777" w:rsidR="0001367C" w:rsidRPr="0001367C" w:rsidRDefault="00C2446A" w:rsidP="0001367C">
      <w:pPr>
        <w:numPr>
          <w:ilvl w:val="0"/>
          <w:numId w:val="22"/>
        </w:numPr>
        <w:spacing w:after="0" w:line="240" w:lineRule="auto"/>
        <w:jc w:val="both"/>
        <w:rPr>
          <w:rFonts w:eastAsia="Times New Roman" w:cs="Tahoma"/>
          <w:color w:val="000000"/>
          <w:szCs w:val="20"/>
        </w:rPr>
      </w:pPr>
      <w:hyperlink r:id="rId21" w:history="1">
        <w:r w:rsidR="0001367C" w:rsidRPr="0001367C">
          <w:rPr>
            <w:rStyle w:val="Hyperlink"/>
            <w:rFonts w:eastAsia="Times New Roman" w:cs="Tahoma"/>
            <w:szCs w:val="20"/>
          </w:rPr>
          <w:t>Dear Parent Letter</w:t>
        </w:r>
      </w:hyperlink>
      <w:r w:rsidR="0001367C" w:rsidRPr="0001367C">
        <w:rPr>
          <w:rFonts w:eastAsia="Times New Roman" w:cs="Tahoma"/>
          <w:color w:val="000000"/>
          <w:szCs w:val="20"/>
        </w:rPr>
        <w:t xml:space="preserve"> (OCR)</w:t>
      </w:r>
    </w:p>
    <w:p w14:paraId="29D5789D" w14:textId="77777777" w:rsidR="0001367C" w:rsidRPr="0001367C" w:rsidRDefault="00C2446A" w:rsidP="0001367C">
      <w:pPr>
        <w:numPr>
          <w:ilvl w:val="0"/>
          <w:numId w:val="22"/>
        </w:numPr>
        <w:spacing w:after="0" w:line="240" w:lineRule="auto"/>
        <w:jc w:val="both"/>
        <w:rPr>
          <w:rFonts w:eastAsia="Times New Roman" w:cs="Tahoma"/>
          <w:color w:val="000000"/>
          <w:szCs w:val="20"/>
        </w:rPr>
      </w:pPr>
      <w:hyperlink r:id="rId22" w:history="1">
        <w:r w:rsidR="0001367C" w:rsidRPr="0001367C">
          <w:rPr>
            <w:rStyle w:val="Hyperlink"/>
            <w:rFonts w:eastAsia="Times New Roman" w:cs="Tahoma"/>
            <w:szCs w:val="20"/>
          </w:rPr>
          <w:t xml:space="preserve">Transition of Students with Disabilities to Postsecondary Education:  </w:t>
        </w:r>
        <w:r w:rsidR="0001367C" w:rsidRPr="0001367C">
          <w:rPr>
            <w:rStyle w:val="Hyperlink"/>
            <w:rFonts w:eastAsia="Times New Roman" w:cs="Tahoma"/>
            <w:i/>
            <w:szCs w:val="20"/>
          </w:rPr>
          <w:t>A Guide for High School Educators</w:t>
        </w:r>
      </w:hyperlink>
      <w:r w:rsidR="0001367C" w:rsidRPr="0001367C">
        <w:rPr>
          <w:rFonts w:eastAsia="Times New Roman" w:cs="Tahoma"/>
          <w:color w:val="000000"/>
          <w:szCs w:val="20"/>
        </w:rPr>
        <w:t xml:space="preserve"> (OCR)</w:t>
      </w:r>
    </w:p>
    <w:p w14:paraId="7D80DCFF" w14:textId="77777777" w:rsidR="0001367C" w:rsidRDefault="00C2446A" w:rsidP="0001367C">
      <w:pPr>
        <w:numPr>
          <w:ilvl w:val="0"/>
          <w:numId w:val="22"/>
        </w:numPr>
        <w:spacing w:after="0" w:line="240" w:lineRule="auto"/>
        <w:jc w:val="both"/>
        <w:rPr>
          <w:rFonts w:eastAsia="Times New Roman" w:cs="Tahoma"/>
          <w:color w:val="000000"/>
          <w:szCs w:val="20"/>
        </w:rPr>
      </w:pPr>
      <w:hyperlink r:id="rId23" w:history="1">
        <w:r w:rsidR="0001367C" w:rsidRPr="0001367C">
          <w:rPr>
            <w:rStyle w:val="Hyperlink"/>
            <w:rFonts w:eastAsia="Times New Roman" w:cs="Tahoma"/>
            <w:szCs w:val="20"/>
          </w:rPr>
          <w:t>NTACT: National Technical Assistance Center on Transition</w:t>
        </w:r>
      </w:hyperlink>
      <w:r w:rsidR="0001367C" w:rsidRPr="0001367C">
        <w:rPr>
          <w:rFonts w:eastAsia="Times New Roman" w:cs="Tahoma"/>
          <w:color w:val="000000"/>
          <w:szCs w:val="20"/>
        </w:rPr>
        <w:t xml:space="preserve"> (Funded by </w:t>
      </w:r>
      <w:r w:rsidR="00CB391D">
        <w:rPr>
          <w:rFonts w:eastAsia="Times New Roman" w:cs="Tahoma"/>
          <w:color w:val="000000"/>
          <w:szCs w:val="20"/>
        </w:rPr>
        <w:t>USDE</w:t>
      </w:r>
      <w:r w:rsidR="0001367C" w:rsidRPr="0001367C">
        <w:rPr>
          <w:rFonts w:eastAsia="Times New Roman" w:cs="Tahoma"/>
          <w:color w:val="000000"/>
          <w:szCs w:val="20"/>
        </w:rPr>
        <w:t>)</w:t>
      </w:r>
    </w:p>
    <w:p w14:paraId="68A37592" w14:textId="24385D0E" w:rsidR="00514396" w:rsidRPr="0001367C" w:rsidRDefault="00514396" w:rsidP="00514396">
      <w:pPr>
        <w:spacing w:after="0" w:line="240" w:lineRule="auto"/>
        <w:ind w:left="720"/>
        <w:jc w:val="both"/>
        <w:rPr>
          <w:rFonts w:eastAsia="Times New Roman" w:cs="Tahoma"/>
          <w:color w:val="000000"/>
          <w:szCs w:val="20"/>
        </w:rPr>
      </w:pPr>
    </w:p>
    <w:p w14:paraId="61E24C49" w14:textId="77777777" w:rsidR="0001367C" w:rsidRPr="0001367C" w:rsidRDefault="0001367C" w:rsidP="0001367C">
      <w:pPr>
        <w:spacing w:after="0" w:line="240" w:lineRule="auto"/>
        <w:jc w:val="both"/>
        <w:rPr>
          <w:rFonts w:eastAsia="Times New Roman" w:cs="Tahoma"/>
          <w:color w:val="000000"/>
          <w:szCs w:val="20"/>
        </w:rPr>
      </w:pPr>
    </w:p>
    <w:p w14:paraId="41957C17" w14:textId="7C2B6FA0" w:rsidR="0001367C" w:rsidRPr="0001367C" w:rsidRDefault="0001367C" w:rsidP="0001367C">
      <w:pPr>
        <w:spacing w:after="0" w:line="240" w:lineRule="auto"/>
        <w:jc w:val="both"/>
        <w:rPr>
          <w:rFonts w:eastAsia="Times New Roman" w:cs="Tahoma"/>
          <w:color w:val="000000"/>
          <w:szCs w:val="20"/>
        </w:rPr>
      </w:pPr>
      <w:r w:rsidRPr="0001367C">
        <w:rPr>
          <w:rFonts w:eastAsia="Times New Roman" w:cs="Tahoma"/>
          <w:color w:val="000000"/>
          <w:szCs w:val="20"/>
        </w:rPr>
        <w:t>Through the implementation of the</w:t>
      </w:r>
      <w:r w:rsidR="00554E02">
        <w:rPr>
          <w:rFonts w:eastAsia="Times New Roman" w:cs="Tahoma"/>
          <w:color w:val="000000"/>
          <w:szCs w:val="20"/>
        </w:rPr>
        <w:t xml:space="preserve"> member district</w:t>
      </w:r>
      <w:r w:rsidRPr="00086836">
        <w:rPr>
          <w:rFonts w:eastAsia="Times New Roman" w:cs="Tahoma"/>
          <w:color w:val="000000"/>
          <w:szCs w:val="20"/>
        </w:rPr>
        <w:t xml:space="preserve"> policies and procedures as outlined in the </w:t>
      </w:r>
      <w:hyperlink r:id="rId24" w:history="1">
        <w:r w:rsidRPr="00086836">
          <w:rPr>
            <w:rStyle w:val="Hyperlink"/>
            <w:rFonts w:eastAsia="Times New Roman" w:cs="Times New Roman"/>
            <w:szCs w:val="20"/>
          </w:rPr>
          <w:t>Legal Framework</w:t>
        </w:r>
      </w:hyperlink>
      <w:r w:rsidRPr="00086836">
        <w:rPr>
          <w:rFonts w:eastAsia="Times New Roman" w:cs="Tahoma"/>
          <w:color w:val="000000"/>
          <w:szCs w:val="20"/>
        </w:rPr>
        <w:t xml:space="preserve"> for the Child-Centered Special Education Process, the </w:t>
      </w:r>
      <w:r w:rsidR="00554E02">
        <w:rPr>
          <w:rFonts w:eastAsia="Times New Roman" w:cs="Times New Roman"/>
          <w:color w:val="auto"/>
          <w:szCs w:val="20"/>
        </w:rPr>
        <w:t>member</w:t>
      </w:r>
      <w:r w:rsidR="00552DD1">
        <w:rPr>
          <w:rFonts w:eastAsia="Times New Roman" w:cs="Times New Roman"/>
          <w:color w:val="auto"/>
          <w:szCs w:val="20"/>
        </w:rPr>
        <w:t xml:space="preserve"> </w:t>
      </w:r>
      <w:r w:rsidR="00554E02">
        <w:rPr>
          <w:rFonts w:eastAsia="Times New Roman" w:cs="Times New Roman"/>
          <w:color w:val="auto"/>
          <w:szCs w:val="20"/>
        </w:rPr>
        <w:t>district</w:t>
      </w:r>
      <w:r w:rsidRPr="0001367C">
        <w:rPr>
          <w:rFonts w:eastAsia="Times New Roman" w:cs="Tahoma"/>
          <w:color w:val="000000"/>
          <w:szCs w:val="20"/>
        </w:rPr>
        <w:t xml:space="preserve"> ensures that transition services are addressed in the IEP of a child with a disability as required by the IDEA and its accompanying federal regulations, state statutes and regulations.</w:t>
      </w:r>
    </w:p>
    <w:p w14:paraId="1EC64397" w14:textId="77777777" w:rsidR="00E21132" w:rsidRPr="002045E8" w:rsidRDefault="00E21132" w:rsidP="006E3F0A">
      <w:pPr>
        <w:spacing w:after="0" w:line="240" w:lineRule="auto"/>
        <w:jc w:val="both"/>
        <w:rPr>
          <w:rFonts w:eastAsia="Times New Roman" w:cs="Times New Roman"/>
          <w:color w:val="auto"/>
          <w:szCs w:val="20"/>
        </w:rPr>
      </w:pPr>
    </w:p>
    <w:p w14:paraId="371BCB67" w14:textId="77777777" w:rsidR="00DB231F" w:rsidRDefault="00C2446A" w:rsidP="009415A3">
      <w:pPr>
        <w:spacing w:after="0" w:line="240" w:lineRule="auto"/>
        <w:rPr>
          <w:szCs w:val="20"/>
        </w:rPr>
      </w:pPr>
      <w:r>
        <w:rPr>
          <w:szCs w:val="20"/>
        </w:rPr>
        <w:pict w14:anchorId="4D7BC88D">
          <v:rect id="_x0000_i1025" style="width:468pt;height:3pt" o:hralign="center" o:hrstd="t" o:hrnoshade="t" o:hr="t" fillcolor="#0f3966 [3204]" stroked="f"/>
        </w:pict>
      </w:r>
    </w:p>
    <w:p w14:paraId="21313AF4" w14:textId="78AF6BD8" w:rsidR="000B79ED" w:rsidRPr="00261ADA" w:rsidRDefault="000B79ED" w:rsidP="009415A3">
      <w:pPr>
        <w:spacing w:after="0" w:line="240" w:lineRule="auto"/>
        <w:rPr>
          <w:color w:val="auto"/>
          <w:u w:val="single"/>
        </w:rPr>
      </w:pPr>
      <w:r w:rsidRPr="00261ADA">
        <w:rPr>
          <w:color w:val="auto"/>
          <w:u w:val="single"/>
        </w:rPr>
        <w:t>Transition Specialist</w:t>
      </w:r>
    </w:p>
    <w:p w14:paraId="683A0C12" w14:textId="7217B13D" w:rsidR="000B79ED" w:rsidRPr="00261ADA" w:rsidRDefault="000B79ED" w:rsidP="000B79ED">
      <w:pPr>
        <w:pStyle w:val="ListParagraph"/>
        <w:numPr>
          <w:ilvl w:val="0"/>
          <w:numId w:val="27"/>
        </w:numPr>
        <w:spacing w:after="0" w:line="240" w:lineRule="auto"/>
        <w:rPr>
          <w:color w:val="auto"/>
        </w:rPr>
      </w:pPr>
      <w:r w:rsidRPr="00261ADA">
        <w:rPr>
          <w:color w:val="auto"/>
        </w:rPr>
        <w:t xml:space="preserve">The RCSS Transition Specialist is the Transition/Employment Services Designee for </w:t>
      </w:r>
      <w:r w:rsidR="00067358">
        <w:rPr>
          <w:color w:val="auto"/>
        </w:rPr>
        <w:t>Bremond ISD</w:t>
      </w:r>
      <w:r w:rsidRPr="00261ADA">
        <w:rPr>
          <w:color w:val="auto"/>
        </w:rPr>
        <w:t xml:space="preserve"> and works collaboratively with the RCSS </w:t>
      </w:r>
      <w:r w:rsidR="00067358">
        <w:rPr>
          <w:color w:val="auto"/>
        </w:rPr>
        <w:t>Special Education</w:t>
      </w:r>
      <w:r w:rsidRPr="00261ADA">
        <w:rPr>
          <w:color w:val="auto"/>
        </w:rPr>
        <w:t xml:space="preserve"> Director to input information into the Legal Framework website, as well as coordinates with </w:t>
      </w:r>
      <w:r w:rsidR="00714130">
        <w:rPr>
          <w:color w:val="auto"/>
        </w:rPr>
        <w:t>member district</w:t>
      </w:r>
      <w:r w:rsidRPr="00261ADA">
        <w:rPr>
          <w:color w:val="auto"/>
        </w:rPr>
        <w:t xml:space="preserve"> to post the Texas Transition and Employment Guide on the district website. </w:t>
      </w:r>
    </w:p>
    <w:p w14:paraId="55BEE49A" w14:textId="7C7C24EF" w:rsidR="000B79ED" w:rsidRPr="00261ADA" w:rsidRDefault="000B79ED" w:rsidP="000B79ED">
      <w:pPr>
        <w:pStyle w:val="ListParagraph"/>
        <w:numPr>
          <w:ilvl w:val="0"/>
          <w:numId w:val="27"/>
        </w:numPr>
        <w:spacing w:after="0" w:line="240" w:lineRule="auto"/>
        <w:rPr>
          <w:color w:val="auto"/>
        </w:rPr>
      </w:pPr>
      <w:r w:rsidRPr="00261ADA">
        <w:rPr>
          <w:color w:val="auto"/>
        </w:rPr>
        <w:t xml:space="preserve">The RCSS Transition Specialist, in collaboration with ARDCs and the students, collects student preference and interest information for transition assessments (formal and/or informal) and supplements for consideration by ARDCs. When appropriate, functional vocational assessment data will also be collected. </w:t>
      </w:r>
      <w:r w:rsidR="00714130">
        <w:rPr>
          <w:color w:val="auto"/>
        </w:rPr>
        <w:t xml:space="preserve">The member district </w:t>
      </w:r>
      <w:r w:rsidRPr="00261ADA">
        <w:rPr>
          <w:color w:val="auto"/>
        </w:rPr>
        <w:t>School Counselors, Sp</w:t>
      </w:r>
      <w:r w:rsidR="00067358">
        <w:rPr>
          <w:color w:val="auto"/>
        </w:rPr>
        <w:t>ecial Education</w:t>
      </w:r>
      <w:r w:rsidRPr="00261ADA">
        <w:rPr>
          <w:color w:val="auto"/>
        </w:rPr>
        <w:t xml:space="preserve"> Teachers or otherwise assigned personnel will complete student interviews prior to ARDC meetings. </w:t>
      </w:r>
    </w:p>
    <w:p w14:paraId="483CEF2F" w14:textId="129E0C5B" w:rsidR="000B79ED" w:rsidRDefault="000B79ED" w:rsidP="000B79ED">
      <w:pPr>
        <w:pStyle w:val="ListParagraph"/>
        <w:numPr>
          <w:ilvl w:val="0"/>
          <w:numId w:val="27"/>
        </w:numPr>
        <w:spacing w:after="0" w:line="240" w:lineRule="auto"/>
        <w:rPr>
          <w:color w:val="auto"/>
        </w:rPr>
      </w:pPr>
      <w:r w:rsidRPr="00261ADA">
        <w:rPr>
          <w:color w:val="auto"/>
        </w:rPr>
        <w:t xml:space="preserve">In consultation with </w:t>
      </w:r>
      <w:r w:rsidR="00714130">
        <w:rPr>
          <w:color w:val="auto"/>
        </w:rPr>
        <w:t>member district</w:t>
      </w:r>
      <w:r w:rsidRPr="00261ADA">
        <w:rPr>
          <w:color w:val="auto"/>
        </w:rPr>
        <w:t>, Diagnosticians/LSSPs will schedule initial, annual and brief/review ARDC meetings to include parents/guardians. RCSS</w:t>
      </w:r>
      <w:r w:rsidR="00D44372">
        <w:rPr>
          <w:color w:val="auto"/>
        </w:rPr>
        <w:t xml:space="preserve"> </w:t>
      </w:r>
      <w:r w:rsidRPr="00261ADA">
        <w:rPr>
          <w:color w:val="auto"/>
        </w:rPr>
        <w:t xml:space="preserve">will document three attempts to include parents/guardians; transition information is included with all annuals. In consultation with </w:t>
      </w:r>
      <w:r w:rsidR="00714130">
        <w:rPr>
          <w:color w:val="auto"/>
        </w:rPr>
        <w:t>the member district</w:t>
      </w:r>
      <w:r w:rsidRPr="00261ADA">
        <w:rPr>
          <w:color w:val="auto"/>
        </w:rPr>
        <w:t xml:space="preserve">, RCSS Diagnosticians/LSSPs invite students to meetings. A CTE representative will be invited to annual meetings. </w:t>
      </w:r>
    </w:p>
    <w:p w14:paraId="17DC56A7" w14:textId="047861D9" w:rsidR="005A1DAF" w:rsidRPr="00261ADA" w:rsidRDefault="005A1DAF" w:rsidP="000B79ED">
      <w:pPr>
        <w:pStyle w:val="ListParagraph"/>
        <w:numPr>
          <w:ilvl w:val="0"/>
          <w:numId w:val="27"/>
        </w:numPr>
        <w:spacing w:after="0" w:line="240" w:lineRule="auto"/>
        <w:rPr>
          <w:color w:val="auto"/>
        </w:rPr>
      </w:pPr>
      <w:r>
        <w:rPr>
          <w:color w:val="auto"/>
        </w:rPr>
        <w:t>When appropriate, representatives from outside agencies are invited to ARDC meetings with prior consent of the adult student or parent.</w:t>
      </w:r>
    </w:p>
    <w:p w14:paraId="33E5CF0F" w14:textId="2DCF0792" w:rsidR="000B79ED" w:rsidRPr="00261ADA" w:rsidRDefault="000B79ED" w:rsidP="000B79ED">
      <w:pPr>
        <w:pStyle w:val="ListParagraph"/>
        <w:numPr>
          <w:ilvl w:val="0"/>
          <w:numId w:val="27"/>
        </w:numPr>
        <w:spacing w:after="0" w:line="240" w:lineRule="auto"/>
        <w:rPr>
          <w:color w:val="auto"/>
        </w:rPr>
      </w:pPr>
      <w:r w:rsidRPr="00261ADA">
        <w:rPr>
          <w:color w:val="auto"/>
        </w:rPr>
        <w:t xml:space="preserve">The RCSS Transition Specialist obtains consents to connect students with disabilities to agencies as part of transition services annually and Transfer of Rights and Rights Transferred are obtained when appropriate. Guardianship and alternatives to guardianship, such as supported decision-making </w:t>
      </w:r>
      <w:r w:rsidR="004658CC" w:rsidRPr="00261ADA">
        <w:rPr>
          <w:color w:val="auto"/>
        </w:rPr>
        <w:t>is</w:t>
      </w:r>
      <w:r w:rsidRPr="00261ADA">
        <w:rPr>
          <w:color w:val="auto"/>
        </w:rPr>
        <w:t xml:space="preserve"> discussed when appropriate. </w:t>
      </w:r>
    </w:p>
    <w:p w14:paraId="33F461EE" w14:textId="6B63D32A" w:rsidR="00E14FED" w:rsidRDefault="00CF12A6" w:rsidP="000B79ED">
      <w:pPr>
        <w:pStyle w:val="ListParagraph"/>
        <w:numPr>
          <w:ilvl w:val="0"/>
          <w:numId w:val="27"/>
        </w:numPr>
        <w:spacing w:after="0" w:line="240" w:lineRule="auto"/>
        <w:rPr>
          <w:color w:val="auto"/>
        </w:rPr>
      </w:pPr>
      <w:r>
        <w:rPr>
          <w:color w:val="auto"/>
        </w:rPr>
        <w:t>Member district</w:t>
      </w:r>
      <w:r w:rsidR="000B79ED" w:rsidRPr="00261ADA">
        <w:rPr>
          <w:color w:val="auto"/>
        </w:rPr>
        <w:t xml:space="preserve"> School Counselors draft the PGP. </w:t>
      </w:r>
    </w:p>
    <w:p w14:paraId="59CB0C40" w14:textId="067790A3" w:rsidR="000B79ED" w:rsidRPr="00E14FED" w:rsidRDefault="000B79ED" w:rsidP="00E14FED">
      <w:pPr>
        <w:spacing w:after="0" w:line="240" w:lineRule="auto"/>
        <w:ind w:left="360"/>
        <w:rPr>
          <w:color w:val="auto"/>
          <w:u w:val="single"/>
        </w:rPr>
      </w:pPr>
      <w:r w:rsidRPr="00E14FED">
        <w:rPr>
          <w:color w:val="auto"/>
          <w:u w:val="single"/>
        </w:rPr>
        <w:t>Graduation</w:t>
      </w:r>
    </w:p>
    <w:p w14:paraId="39B2D1FB" w14:textId="678CB2A7" w:rsidR="000B79ED" w:rsidRPr="00261ADA" w:rsidRDefault="000B79ED" w:rsidP="000B79ED">
      <w:pPr>
        <w:pStyle w:val="ListParagraph"/>
        <w:numPr>
          <w:ilvl w:val="0"/>
          <w:numId w:val="27"/>
        </w:numPr>
        <w:spacing w:after="0" w:line="240" w:lineRule="auto"/>
        <w:rPr>
          <w:color w:val="auto"/>
        </w:rPr>
      </w:pPr>
      <w:r w:rsidRPr="00261ADA">
        <w:rPr>
          <w:color w:val="auto"/>
        </w:rPr>
        <w:t xml:space="preserve">ARDC meetings will be scheduled to determine eligibility for students with disabilities requesting to return to school after graduation and receipt of a diploma. </w:t>
      </w:r>
    </w:p>
    <w:p w14:paraId="3483AE35" w14:textId="5911A72A" w:rsidR="00F737A0" w:rsidRPr="00261ADA" w:rsidRDefault="000B79ED" w:rsidP="000B79ED">
      <w:pPr>
        <w:pStyle w:val="ListParagraph"/>
        <w:numPr>
          <w:ilvl w:val="0"/>
          <w:numId w:val="27"/>
        </w:numPr>
        <w:spacing w:after="0" w:line="240" w:lineRule="auto"/>
        <w:rPr>
          <w:color w:val="auto"/>
        </w:rPr>
      </w:pPr>
      <w:r w:rsidRPr="00261ADA">
        <w:rPr>
          <w:color w:val="auto"/>
        </w:rPr>
        <w:t xml:space="preserve">RCSS will document three attempts to include parents/guardians; graduation information is included with all annuals. In consultation with </w:t>
      </w:r>
      <w:r w:rsidR="00152266">
        <w:rPr>
          <w:color w:val="auto"/>
        </w:rPr>
        <w:t>the member district</w:t>
      </w:r>
      <w:r w:rsidRPr="00261ADA">
        <w:rPr>
          <w:color w:val="auto"/>
        </w:rPr>
        <w:t xml:space="preserve">, </w:t>
      </w:r>
      <w:r w:rsidR="00F737A0" w:rsidRPr="00261ADA">
        <w:rPr>
          <w:color w:val="auto"/>
        </w:rPr>
        <w:t>RCSS</w:t>
      </w:r>
      <w:r w:rsidRPr="00261ADA">
        <w:rPr>
          <w:color w:val="auto"/>
        </w:rPr>
        <w:t xml:space="preserve"> </w:t>
      </w:r>
      <w:r w:rsidR="00F737A0" w:rsidRPr="00261ADA">
        <w:rPr>
          <w:color w:val="auto"/>
        </w:rPr>
        <w:t xml:space="preserve">Diagnosticians/LSSPs </w:t>
      </w:r>
      <w:r w:rsidRPr="00261ADA">
        <w:rPr>
          <w:color w:val="auto"/>
        </w:rPr>
        <w:t>also invite students to the meetings.</w:t>
      </w:r>
    </w:p>
    <w:p w14:paraId="4BCDB093" w14:textId="75F4DCB2" w:rsidR="00F737A0" w:rsidRPr="00261ADA" w:rsidRDefault="00714130" w:rsidP="000B79ED">
      <w:pPr>
        <w:pStyle w:val="ListParagraph"/>
        <w:numPr>
          <w:ilvl w:val="0"/>
          <w:numId w:val="27"/>
        </w:numPr>
        <w:spacing w:after="0" w:line="240" w:lineRule="auto"/>
        <w:rPr>
          <w:color w:val="auto"/>
        </w:rPr>
      </w:pPr>
      <w:r>
        <w:rPr>
          <w:color w:val="auto"/>
        </w:rPr>
        <w:lastRenderedPageBreak/>
        <w:t>The member district</w:t>
      </w:r>
      <w:r w:rsidR="000B79ED" w:rsidRPr="00261ADA">
        <w:rPr>
          <w:color w:val="auto"/>
        </w:rPr>
        <w:t xml:space="preserve"> School Counselor or designee attends ARDC meetings to discuss and share information about the Foundation High School Program, courses of study and endorsements. A CTE representative is also invited to annual meetings. </w:t>
      </w:r>
    </w:p>
    <w:p w14:paraId="3BD6790F" w14:textId="703AE684" w:rsidR="00F737A0" w:rsidRPr="00261ADA" w:rsidRDefault="00F737A0" w:rsidP="000B79ED">
      <w:pPr>
        <w:pStyle w:val="ListParagraph"/>
        <w:numPr>
          <w:ilvl w:val="0"/>
          <w:numId w:val="27"/>
        </w:numPr>
        <w:spacing w:after="0" w:line="240" w:lineRule="auto"/>
        <w:rPr>
          <w:color w:val="auto"/>
        </w:rPr>
      </w:pPr>
      <w:r w:rsidRPr="00261ADA">
        <w:rPr>
          <w:color w:val="auto"/>
        </w:rPr>
        <w:t xml:space="preserve">RCSS Diagnosticians/LSSPs </w:t>
      </w:r>
      <w:r w:rsidR="000B79ED" w:rsidRPr="00261ADA">
        <w:rPr>
          <w:color w:val="auto"/>
        </w:rPr>
        <w:t xml:space="preserve">complete the Summary of Performance, which includes current academic achievement, current functional performance and post-secondary goals. </w:t>
      </w:r>
    </w:p>
    <w:p w14:paraId="43A5A55A" w14:textId="77777777" w:rsidR="00F737A0" w:rsidRPr="00261ADA" w:rsidRDefault="00F737A0" w:rsidP="00F737A0">
      <w:pPr>
        <w:spacing w:after="0" w:line="240" w:lineRule="auto"/>
        <w:rPr>
          <w:color w:val="auto"/>
        </w:rPr>
      </w:pPr>
    </w:p>
    <w:p w14:paraId="2A66A300" w14:textId="316F3947" w:rsidR="00F737A0" w:rsidRPr="00261ADA" w:rsidRDefault="000B79ED" w:rsidP="00F737A0">
      <w:pPr>
        <w:spacing w:after="0" w:line="240" w:lineRule="auto"/>
        <w:rPr>
          <w:color w:val="auto"/>
        </w:rPr>
      </w:pPr>
      <w:r w:rsidRPr="00554E02">
        <w:rPr>
          <w:b/>
          <w:color w:val="auto"/>
        </w:rPr>
        <w:t>S</w:t>
      </w:r>
      <w:r w:rsidR="00554E02" w:rsidRPr="00554E02">
        <w:rPr>
          <w:b/>
          <w:color w:val="auto"/>
        </w:rPr>
        <w:t>taff Responsible</w:t>
      </w:r>
      <w:r w:rsidRPr="00554E02">
        <w:rPr>
          <w:b/>
          <w:color w:val="auto"/>
        </w:rPr>
        <w:t>:</w:t>
      </w:r>
      <w:r w:rsidRPr="00261ADA">
        <w:rPr>
          <w:color w:val="auto"/>
        </w:rPr>
        <w:t xml:space="preserve"> S</w:t>
      </w:r>
      <w:r w:rsidR="00067358">
        <w:rPr>
          <w:color w:val="auto"/>
        </w:rPr>
        <w:t xml:space="preserve">pecial Education </w:t>
      </w:r>
      <w:r w:rsidRPr="00261ADA">
        <w:rPr>
          <w:color w:val="auto"/>
        </w:rPr>
        <w:t xml:space="preserve">Director, </w:t>
      </w:r>
      <w:r w:rsidR="00F737A0" w:rsidRPr="00261ADA">
        <w:rPr>
          <w:color w:val="auto"/>
        </w:rPr>
        <w:t xml:space="preserve">Diagnostician/LSSP, </w:t>
      </w:r>
      <w:r w:rsidRPr="00261ADA">
        <w:rPr>
          <w:color w:val="auto"/>
        </w:rPr>
        <w:t>Transition Specialist</w:t>
      </w:r>
      <w:r w:rsidR="00F737A0" w:rsidRPr="00261ADA">
        <w:rPr>
          <w:color w:val="auto"/>
        </w:rPr>
        <w:t xml:space="preserve">, </w:t>
      </w:r>
      <w:r w:rsidRPr="00261ADA">
        <w:rPr>
          <w:color w:val="auto"/>
        </w:rPr>
        <w:t>Principal, School Counselor and S</w:t>
      </w:r>
      <w:r w:rsidR="00067358">
        <w:rPr>
          <w:color w:val="auto"/>
        </w:rPr>
        <w:t xml:space="preserve">pecial </w:t>
      </w:r>
      <w:r w:rsidR="00026464">
        <w:rPr>
          <w:color w:val="auto"/>
        </w:rPr>
        <w:t>Education</w:t>
      </w:r>
      <w:r w:rsidR="00026464" w:rsidRPr="00261ADA">
        <w:rPr>
          <w:color w:val="auto"/>
        </w:rPr>
        <w:t xml:space="preserve"> Teacher</w:t>
      </w:r>
      <w:r w:rsidRPr="00261ADA">
        <w:rPr>
          <w:color w:val="auto"/>
        </w:rPr>
        <w:t xml:space="preserve"> </w:t>
      </w:r>
    </w:p>
    <w:p w14:paraId="0A07DA27" w14:textId="77777777" w:rsidR="00B606E8" w:rsidRPr="00261ADA" w:rsidRDefault="00B606E8" w:rsidP="00F737A0">
      <w:pPr>
        <w:spacing w:after="0" w:line="240" w:lineRule="auto"/>
        <w:rPr>
          <w:color w:val="auto"/>
        </w:rPr>
      </w:pPr>
    </w:p>
    <w:p w14:paraId="01D03E40" w14:textId="27A48B85" w:rsidR="00F737A0" w:rsidRPr="00554E02" w:rsidRDefault="00554E02" w:rsidP="00F737A0">
      <w:pPr>
        <w:spacing w:after="0" w:line="240" w:lineRule="auto"/>
        <w:rPr>
          <w:b/>
          <w:color w:val="auto"/>
        </w:rPr>
      </w:pPr>
      <w:r w:rsidRPr="00554E02">
        <w:rPr>
          <w:b/>
          <w:color w:val="auto"/>
        </w:rPr>
        <w:t>Timelines</w:t>
      </w:r>
      <w:r w:rsidR="000B79ED" w:rsidRPr="00554E02">
        <w:rPr>
          <w:b/>
          <w:color w:val="auto"/>
        </w:rPr>
        <w:t xml:space="preserve">: </w:t>
      </w:r>
    </w:p>
    <w:p w14:paraId="2F222E9F" w14:textId="77777777" w:rsidR="00F737A0" w:rsidRPr="00261ADA" w:rsidRDefault="000B79ED" w:rsidP="00F737A0">
      <w:pPr>
        <w:spacing w:after="0" w:line="240" w:lineRule="auto"/>
        <w:rPr>
          <w:color w:val="auto"/>
        </w:rPr>
      </w:pPr>
      <w:r w:rsidRPr="00261ADA">
        <w:rPr>
          <w:color w:val="auto"/>
        </w:rPr>
        <w:sym w:font="Symbol" w:char="F0B7"/>
      </w:r>
      <w:r w:rsidRPr="00261ADA">
        <w:rPr>
          <w:color w:val="auto"/>
        </w:rPr>
        <w:t xml:space="preserve"> ARDC meetings at least annually. </w:t>
      </w:r>
    </w:p>
    <w:p w14:paraId="6B9B9ADB" w14:textId="1BAEAF60" w:rsidR="00B606E8" w:rsidRDefault="000B79ED" w:rsidP="00F737A0">
      <w:pPr>
        <w:spacing w:after="0" w:line="240" w:lineRule="auto"/>
        <w:rPr>
          <w:color w:val="auto"/>
        </w:rPr>
      </w:pPr>
      <w:r w:rsidRPr="00261ADA">
        <w:rPr>
          <w:color w:val="auto"/>
        </w:rPr>
        <w:sym w:font="Symbol" w:char="F0B7"/>
      </w:r>
      <w:r w:rsidRPr="00261ADA">
        <w:rPr>
          <w:color w:val="auto"/>
        </w:rPr>
        <w:t xml:space="preserve"> Transfer of Rights and Rights Transferred when age appropriate. </w:t>
      </w:r>
    </w:p>
    <w:p w14:paraId="178AAF46" w14:textId="0BFC19FD" w:rsidR="00293F13" w:rsidRDefault="00293F13" w:rsidP="00293F13">
      <w:pPr>
        <w:spacing w:after="0" w:line="240" w:lineRule="auto"/>
        <w:rPr>
          <w:color w:val="auto"/>
        </w:rPr>
      </w:pPr>
      <w:r w:rsidRPr="00261ADA">
        <w:rPr>
          <w:color w:val="auto"/>
        </w:rPr>
        <w:sym w:font="Symbol" w:char="F0B7"/>
      </w:r>
      <w:r>
        <w:rPr>
          <w:color w:val="auto"/>
        </w:rPr>
        <w:t xml:space="preserve"> Transition planning prior to the student’s 14</w:t>
      </w:r>
      <w:r w:rsidRPr="00293F13">
        <w:rPr>
          <w:color w:val="auto"/>
          <w:vertAlign w:val="superscript"/>
        </w:rPr>
        <w:t>th</w:t>
      </w:r>
      <w:r>
        <w:rPr>
          <w:color w:val="auto"/>
        </w:rPr>
        <w:t xml:space="preserve"> birthday.</w:t>
      </w:r>
    </w:p>
    <w:p w14:paraId="617DAE30" w14:textId="77777777" w:rsidR="00554E02" w:rsidRPr="00293F13" w:rsidRDefault="00554E02" w:rsidP="00293F13">
      <w:pPr>
        <w:spacing w:after="0" w:line="240" w:lineRule="auto"/>
        <w:rPr>
          <w:color w:val="auto"/>
        </w:rPr>
      </w:pPr>
    </w:p>
    <w:p w14:paraId="72EB4FB3" w14:textId="63E6842D" w:rsidR="00026464" w:rsidRPr="00554E02" w:rsidRDefault="00554E02" w:rsidP="00F737A0">
      <w:pPr>
        <w:spacing w:after="0" w:line="240" w:lineRule="auto"/>
        <w:rPr>
          <w:b/>
          <w:color w:val="auto"/>
        </w:rPr>
      </w:pPr>
      <w:r w:rsidRPr="00554E02">
        <w:rPr>
          <w:b/>
          <w:color w:val="auto"/>
        </w:rPr>
        <w:t>Evidence of Practice</w:t>
      </w:r>
      <w:r w:rsidR="000B79ED" w:rsidRPr="00554E02">
        <w:rPr>
          <w:b/>
          <w:color w:val="auto"/>
        </w:rPr>
        <w:t xml:space="preserve">: </w:t>
      </w:r>
    </w:p>
    <w:p w14:paraId="79A034BA" w14:textId="6BECB511" w:rsidR="00F737A0" w:rsidRPr="00261ADA" w:rsidRDefault="000B79ED" w:rsidP="00F737A0">
      <w:pPr>
        <w:spacing w:after="0" w:line="240" w:lineRule="auto"/>
        <w:rPr>
          <w:color w:val="auto"/>
        </w:rPr>
      </w:pPr>
      <w:r w:rsidRPr="00261ADA">
        <w:rPr>
          <w:color w:val="auto"/>
        </w:rPr>
        <w:sym w:font="Symbol" w:char="F0B7"/>
      </w:r>
      <w:r w:rsidRPr="00261ADA">
        <w:rPr>
          <w:color w:val="auto"/>
        </w:rPr>
        <w:t xml:space="preserve"> Training artifacts (i.e., sign-in sheets, agendas, etc.). </w:t>
      </w:r>
    </w:p>
    <w:p w14:paraId="180B9A21" w14:textId="77777777" w:rsidR="00F737A0" w:rsidRPr="00261ADA" w:rsidRDefault="000B79ED" w:rsidP="00F737A0">
      <w:pPr>
        <w:spacing w:after="0" w:line="240" w:lineRule="auto"/>
        <w:rPr>
          <w:color w:val="auto"/>
        </w:rPr>
      </w:pPr>
      <w:r w:rsidRPr="00261ADA">
        <w:rPr>
          <w:color w:val="auto"/>
        </w:rPr>
        <w:sym w:font="Symbol" w:char="F0B7"/>
      </w:r>
      <w:r w:rsidRPr="00261ADA">
        <w:rPr>
          <w:color w:val="auto"/>
        </w:rPr>
        <w:t xml:space="preserve"> Transition assessments for students ages 14 through 21. </w:t>
      </w:r>
    </w:p>
    <w:p w14:paraId="691B07A6" w14:textId="77777777" w:rsidR="00F737A0" w:rsidRPr="00261ADA" w:rsidRDefault="000B79ED" w:rsidP="00F737A0">
      <w:pPr>
        <w:spacing w:after="0" w:line="240" w:lineRule="auto"/>
        <w:rPr>
          <w:color w:val="auto"/>
        </w:rPr>
      </w:pPr>
      <w:r w:rsidRPr="00261ADA">
        <w:rPr>
          <w:color w:val="auto"/>
        </w:rPr>
        <w:sym w:font="Symbol" w:char="F0B7"/>
      </w:r>
      <w:r w:rsidRPr="00261ADA">
        <w:rPr>
          <w:color w:val="auto"/>
        </w:rPr>
        <w:t xml:space="preserve"> ARDC documentation, including consent to invite agencies, PGPs, postsecondary goals transition / graduation supplements and SOP. </w:t>
      </w:r>
    </w:p>
    <w:p w14:paraId="45D1C216" w14:textId="77777777" w:rsidR="00F737A0" w:rsidRPr="00261ADA" w:rsidRDefault="000B79ED" w:rsidP="00F737A0">
      <w:pPr>
        <w:spacing w:after="0" w:line="240" w:lineRule="auto"/>
        <w:rPr>
          <w:color w:val="auto"/>
        </w:rPr>
      </w:pPr>
      <w:r w:rsidRPr="00261ADA">
        <w:rPr>
          <w:color w:val="auto"/>
        </w:rPr>
        <w:sym w:font="Symbol" w:char="F0B7"/>
      </w:r>
      <w:r w:rsidRPr="00261ADA">
        <w:rPr>
          <w:color w:val="auto"/>
        </w:rPr>
        <w:t xml:space="preserve"> Transfer of Rights and Rights Transferred documentation. </w:t>
      </w:r>
    </w:p>
    <w:p w14:paraId="2B4AEECA" w14:textId="77777777" w:rsidR="006B7577" w:rsidRPr="00261ADA" w:rsidRDefault="000B79ED" w:rsidP="006B7577">
      <w:pPr>
        <w:spacing w:after="0" w:line="240" w:lineRule="auto"/>
        <w:rPr>
          <w:color w:val="auto"/>
        </w:rPr>
      </w:pPr>
      <w:r w:rsidRPr="00261ADA">
        <w:rPr>
          <w:color w:val="auto"/>
        </w:rPr>
        <w:sym w:font="Symbol" w:char="F0B7"/>
      </w:r>
      <w:r w:rsidRPr="00261ADA">
        <w:rPr>
          <w:color w:val="auto"/>
        </w:rPr>
        <w:t xml:space="preserve"> Supported Decision-Making Agreement, when </w:t>
      </w:r>
      <w:r w:rsidR="00F737A0" w:rsidRPr="00261ADA">
        <w:rPr>
          <w:color w:val="auto"/>
        </w:rPr>
        <w:t xml:space="preserve">applicable. </w:t>
      </w:r>
    </w:p>
    <w:p w14:paraId="4170A02E" w14:textId="4FE7C7AA" w:rsidR="00F737A0" w:rsidRPr="00261ADA" w:rsidRDefault="006B7577" w:rsidP="006B7577">
      <w:pPr>
        <w:spacing w:after="0" w:line="240" w:lineRule="auto"/>
        <w:rPr>
          <w:color w:val="auto"/>
        </w:rPr>
      </w:pPr>
      <w:r w:rsidRPr="00261ADA">
        <w:rPr>
          <w:color w:val="auto"/>
        </w:rPr>
        <w:sym w:font="Symbol" w:char="F0B7"/>
      </w:r>
      <w:r w:rsidRPr="00261ADA">
        <w:rPr>
          <w:color w:val="auto"/>
        </w:rPr>
        <w:t xml:space="preserve"> </w:t>
      </w:r>
      <w:r w:rsidR="00F737A0" w:rsidRPr="00261ADA">
        <w:rPr>
          <w:color w:val="auto"/>
        </w:rPr>
        <w:t>Link</w:t>
      </w:r>
      <w:r w:rsidR="000B79ED" w:rsidRPr="00261ADA">
        <w:rPr>
          <w:color w:val="auto"/>
        </w:rPr>
        <w:t xml:space="preserve"> to the Texas Transition and Employment Guide on </w:t>
      </w:r>
      <w:r w:rsidR="00026464">
        <w:rPr>
          <w:color w:val="auto"/>
        </w:rPr>
        <w:t xml:space="preserve">the </w:t>
      </w:r>
      <w:r w:rsidR="000B79ED" w:rsidRPr="00261ADA">
        <w:rPr>
          <w:color w:val="auto"/>
        </w:rPr>
        <w:t xml:space="preserve">website. </w:t>
      </w:r>
    </w:p>
    <w:p w14:paraId="4056F633" w14:textId="1B0F9FC2" w:rsidR="009415A3" w:rsidRPr="00261ADA" w:rsidRDefault="000B79ED" w:rsidP="00F737A0">
      <w:pPr>
        <w:spacing w:after="0" w:line="240" w:lineRule="auto"/>
        <w:rPr>
          <w:color w:val="auto"/>
        </w:rPr>
      </w:pPr>
      <w:r w:rsidRPr="00261ADA">
        <w:rPr>
          <w:color w:val="auto"/>
        </w:rPr>
        <w:sym w:font="Symbol" w:char="F0B7"/>
      </w:r>
      <w:r w:rsidRPr="00261ADA">
        <w:rPr>
          <w:color w:val="auto"/>
        </w:rPr>
        <w:t xml:space="preserve"> Submission of SPP #13, including evidence of sampling procedures and sampling list.</w:t>
      </w:r>
    </w:p>
    <w:sectPr w:rsidR="009415A3" w:rsidRPr="00261ADA" w:rsidSect="00A15E59">
      <w:headerReference w:type="even" r:id="rId25"/>
      <w:headerReference w:type="default" r:id="rId26"/>
      <w:footerReference w:type="even" r:id="rId27"/>
      <w:footerReference w:type="default" r:id="rId28"/>
      <w:headerReference w:type="first" r:id="rId29"/>
      <w:footerReference w:type="first" r:id="rId30"/>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FB46A" w14:textId="77777777" w:rsidR="00C2446A" w:rsidRDefault="00C2446A">
      <w:pPr>
        <w:spacing w:after="0" w:line="240" w:lineRule="auto"/>
      </w:pPr>
      <w:r>
        <w:separator/>
      </w:r>
    </w:p>
  </w:endnote>
  <w:endnote w:type="continuationSeparator" w:id="0">
    <w:p w14:paraId="06E99956" w14:textId="77777777" w:rsidR="00C2446A" w:rsidRDefault="00C2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34F12" w14:textId="77777777" w:rsidR="00633E73" w:rsidRDefault="00633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9"/>
      <w:gridCol w:w="6071"/>
    </w:tblGrid>
    <w:tr w:rsidR="00A15E59" w:rsidRPr="00CD22C5" w14:paraId="79A3CD0D" w14:textId="77777777" w:rsidTr="007A30FA">
      <w:trPr>
        <w:jc w:val="center"/>
      </w:trPr>
      <w:tc>
        <w:tcPr>
          <w:tcW w:w="3348" w:type="dxa"/>
          <w:vAlign w:val="center"/>
        </w:tcPr>
        <w:p w14:paraId="2B926B2D" w14:textId="10F028E3"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811DCC">
            <w:rPr>
              <w:b w:val="0"/>
              <w:sz w:val="16"/>
              <w:szCs w:val="16"/>
            </w:rPr>
            <w:t>Procedures</w:t>
          </w:r>
        </w:p>
      </w:tc>
      <w:tc>
        <w:tcPr>
          <w:tcW w:w="6228" w:type="dxa"/>
          <w:vAlign w:val="center"/>
        </w:tcPr>
        <w:p w14:paraId="2B265BFD" w14:textId="77777777" w:rsidR="00A15E59" w:rsidRPr="009A1B8F" w:rsidRDefault="0001367C" w:rsidP="0001367C">
          <w:pPr>
            <w:pStyle w:val="Footer"/>
            <w:tabs>
              <w:tab w:val="left" w:pos="1260"/>
            </w:tabs>
            <w:jc w:val="right"/>
            <w:rPr>
              <w:sz w:val="16"/>
              <w:szCs w:val="16"/>
            </w:rPr>
          </w:pPr>
          <w:r>
            <w:rPr>
              <w:sz w:val="16"/>
              <w:szCs w:val="16"/>
            </w:rPr>
            <w:t>TRANSITION SERVICES</w:t>
          </w:r>
        </w:p>
      </w:tc>
    </w:tr>
    <w:tr w:rsidR="00A15E59" w:rsidRPr="00CD22C5" w14:paraId="6CA449AE" w14:textId="77777777" w:rsidTr="007A30FA">
      <w:trPr>
        <w:jc w:val="center"/>
      </w:trPr>
      <w:tc>
        <w:tcPr>
          <w:tcW w:w="3348" w:type="dxa"/>
          <w:vAlign w:val="center"/>
        </w:tcPr>
        <w:p w14:paraId="1BFE6B41" w14:textId="2232C5D4"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554E02" w:rsidRPr="00F65FBB">
            <w:rPr>
              <w:b w:val="0"/>
              <w:sz w:val="16"/>
              <w:szCs w:val="16"/>
            </w:rPr>
            <w:t>08/202</w:t>
          </w:r>
          <w:r w:rsidR="002710E6">
            <w:rPr>
              <w:b w:val="0"/>
              <w:sz w:val="16"/>
              <w:szCs w:val="16"/>
            </w:rPr>
            <w:t>5</w:t>
          </w:r>
          <w:bookmarkStart w:id="0" w:name="_GoBack"/>
          <w:bookmarkEnd w:id="0"/>
        </w:p>
      </w:tc>
      <w:tc>
        <w:tcPr>
          <w:tcW w:w="6228" w:type="dxa"/>
          <w:vAlign w:val="center"/>
        </w:tcPr>
        <w:p w14:paraId="0A655616" w14:textId="3E91EA5A"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4F2C98">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4F2C98">
            <w:rPr>
              <w:b w:val="0"/>
              <w:noProof/>
              <w:sz w:val="16"/>
              <w:szCs w:val="16"/>
            </w:rPr>
            <w:t>3</w:t>
          </w:r>
          <w:r w:rsidRPr="00CD22C5">
            <w:rPr>
              <w:b w:val="0"/>
              <w:sz w:val="16"/>
              <w:szCs w:val="16"/>
            </w:rPr>
            <w:fldChar w:fldCharType="end"/>
          </w:r>
        </w:p>
      </w:tc>
    </w:tr>
  </w:tbl>
  <w:p w14:paraId="75AB812F"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58CC50F1" w14:textId="77777777" w:rsidTr="00CD22C5">
      <w:tc>
        <w:tcPr>
          <w:tcW w:w="4338" w:type="dxa"/>
          <w:vAlign w:val="center"/>
        </w:tcPr>
        <w:p w14:paraId="28EA1FF1"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38D83093"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028C0101" w14:textId="77777777" w:rsidTr="00CD22C5">
      <w:tc>
        <w:tcPr>
          <w:tcW w:w="4338" w:type="dxa"/>
          <w:vAlign w:val="center"/>
        </w:tcPr>
        <w:p w14:paraId="314A09B7"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006374FF"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500F36D7"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8A626" w14:textId="77777777" w:rsidR="00C2446A" w:rsidRDefault="00C2446A">
      <w:pPr>
        <w:spacing w:after="0" w:line="240" w:lineRule="auto"/>
      </w:pPr>
      <w:r>
        <w:separator/>
      </w:r>
    </w:p>
  </w:footnote>
  <w:footnote w:type="continuationSeparator" w:id="0">
    <w:p w14:paraId="5C5782EC" w14:textId="77777777" w:rsidR="00C2446A" w:rsidRDefault="00C24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08F5" w14:textId="77777777" w:rsidR="00633E73" w:rsidRDefault="00633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6A11B82C"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C789C51" w14:textId="34165A2F" w:rsidR="00A15E59" w:rsidRPr="00A15E59" w:rsidRDefault="00A15E59" w:rsidP="00A15E59">
          <w:pPr>
            <w:pStyle w:val="Header"/>
            <w:spacing w:before="0"/>
            <w:jc w:val="center"/>
            <w:rPr>
              <w:color w:val="0F3966" w:themeColor="accent1"/>
              <w:sz w:val="24"/>
            </w:rPr>
          </w:pPr>
          <w:r w:rsidRPr="00A15E59">
            <w:rPr>
              <w:sz w:val="24"/>
            </w:rPr>
            <w:t xml:space="preserve">OPERATING </w:t>
          </w:r>
          <w:r w:rsidR="00811DCC">
            <w:rPr>
              <w:sz w:val="24"/>
            </w:rPr>
            <w:t>PROCEDURES</w:t>
          </w:r>
        </w:p>
      </w:tc>
    </w:tr>
    <w:tr w:rsidR="00A15E59" w:rsidRPr="00A15E59" w14:paraId="7E27B73F"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44D36DCA" w14:textId="77777777" w:rsidR="00727C62" w:rsidRPr="00A15E59" w:rsidRDefault="0001367C" w:rsidP="0001367C">
          <w:pPr>
            <w:pStyle w:val="Header"/>
            <w:spacing w:before="0"/>
            <w:jc w:val="center"/>
            <w:rPr>
              <w:sz w:val="24"/>
            </w:rPr>
          </w:pPr>
          <w:r>
            <w:rPr>
              <w:sz w:val="24"/>
            </w:rPr>
            <w:t>TRANSITION SERVICES</w:t>
          </w:r>
        </w:p>
      </w:tc>
    </w:tr>
    <w:tr w:rsidR="00A15E59" w:rsidRPr="00A15E59" w14:paraId="2CFE29F3"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54ADD60F" w14:textId="50FC20EE" w:rsidR="00633E73" w:rsidRPr="00A15E59" w:rsidRDefault="00633E73" w:rsidP="0017202D">
          <w:pPr>
            <w:pStyle w:val="Header"/>
            <w:spacing w:before="0"/>
            <w:jc w:val="left"/>
          </w:pPr>
          <w:r>
            <w:t>Robertson County Special Services</w:t>
          </w:r>
        </w:p>
      </w:tc>
      <w:tc>
        <w:tcPr>
          <w:tcW w:w="1710" w:type="dxa"/>
          <w:vAlign w:val="center"/>
        </w:tcPr>
        <w:p w14:paraId="2BF9E620" w14:textId="1899B5DD"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2D9C1E54"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8434A" w14:textId="77777777" w:rsidR="00633E73" w:rsidRDefault="00633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6D13918"/>
    <w:multiLevelType w:val="hybridMultilevel"/>
    <w:tmpl w:val="084E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213D5370"/>
    <w:multiLevelType w:val="multilevel"/>
    <w:tmpl w:val="6252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711D1"/>
    <w:multiLevelType w:val="multilevel"/>
    <w:tmpl w:val="3EA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2549A"/>
    <w:multiLevelType w:val="hybridMultilevel"/>
    <w:tmpl w:val="E3D4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C602D"/>
    <w:multiLevelType w:val="hybridMultilevel"/>
    <w:tmpl w:val="F704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B0B48"/>
    <w:multiLevelType w:val="multilevel"/>
    <w:tmpl w:val="F11C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231FC"/>
    <w:multiLevelType w:val="hybridMultilevel"/>
    <w:tmpl w:val="753E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63DC2"/>
    <w:multiLevelType w:val="hybridMultilevel"/>
    <w:tmpl w:val="E0E2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75142"/>
    <w:multiLevelType w:val="hybridMultilevel"/>
    <w:tmpl w:val="35E2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C84C38"/>
    <w:multiLevelType w:val="hybridMultilevel"/>
    <w:tmpl w:val="981A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24"/>
  </w:num>
  <w:num w:numId="15">
    <w:abstractNumId w:val="15"/>
  </w:num>
  <w:num w:numId="16">
    <w:abstractNumId w:val="14"/>
  </w:num>
  <w:num w:numId="17">
    <w:abstractNumId w:val="10"/>
  </w:num>
  <w:num w:numId="18">
    <w:abstractNumId w:val="18"/>
  </w:num>
  <w:num w:numId="19">
    <w:abstractNumId w:val="12"/>
  </w:num>
  <w:num w:numId="20">
    <w:abstractNumId w:val="27"/>
  </w:num>
  <w:num w:numId="21">
    <w:abstractNumId w:val="19"/>
  </w:num>
  <w:num w:numId="22">
    <w:abstractNumId w:val="9"/>
  </w:num>
  <w:num w:numId="23">
    <w:abstractNumId w:val="13"/>
  </w:num>
  <w:num w:numId="24">
    <w:abstractNumId w:val="21"/>
  </w:num>
  <w:num w:numId="25">
    <w:abstractNumId w:val="16"/>
  </w:num>
  <w:num w:numId="26">
    <w:abstractNumId w:val="26"/>
  </w:num>
  <w:num w:numId="27">
    <w:abstractNumId w:val="22"/>
  </w:num>
  <w:num w:numId="28">
    <w:abstractNumId w:val="20"/>
  </w:num>
  <w:num w:numId="29">
    <w:abstractNumId w:val="25"/>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1367C"/>
    <w:rsid w:val="00026464"/>
    <w:rsid w:val="00026EFA"/>
    <w:rsid w:val="00027F91"/>
    <w:rsid w:val="00065216"/>
    <w:rsid w:val="00067358"/>
    <w:rsid w:val="00086836"/>
    <w:rsid w:val="000B79ED"/>
    <w:rsid w:val="000C084D"/>
    <w:rsid w:val="000C551A"/>
    <w:rsid w:val="000D1B5E"/>
    <w:rsid w:val="0010401E"/>
    <w:rsid w:val="00116B2E"/>
    <w:rsid w:val="001345E6"/>
    <w:rsid w:val="00140EB8"/>
    <w:rsid w:val="00152266"/>
    <w:rsid w:val="0017202D"/>
    <w:rsid w:val="001806C6"/>
    <w:rsid w:val="001926E0"/>
    <w:rsid w:val="001C6AC8"/>
    <w:rsid w:val="001E4ECB"/>
    <w:rsid w:val="002045E8"/>
    <w:rsid w:val="0020530F"/>
    <w:rsid w:val="00261ADA"/>
    <w:rsid w:val="002710E6"/>
    <w:rsid w:val="00271990"/>
    <w:rsid w:val="00287E6A"/>
    <w:rsid w:val="00291177"/>
    <w:rsid w:val="00293F13"/>
    <w:rsid w:val="003009D3"/>
    <w:rsid w:val="00374D60"/>
    <w:rsid w:val="003920EE"/>
    <w:rsid w:val="003B44F9"/>
    <w:rsid w:val="003B4D7D"/>
    <w:rsid w:val="00426C23"/>
    <w:rsid w:val="00435838"/>
    <w:rsid w:val="00452D0C"/>
    <w:rsid w:val="00462709"/>
    <w:rsid w:val="004658CC"/>
    <w:rsid w:val="00470F29"/>
    <w:rsid w:val="004A69EA"/>
    <w:rsid w:val="004C26A1"/>
    <w:rsid w:val="004E1018"/>
    <w:rsid w:val="004E2A26"/>
    <w:rsid w:val="004F09A7"/>
    <w:rsid w:val="004F27C1"/>
    <w:rsid w:val="004F2C98"/>
    <w:rsid w:val="004F452C"/>
    <w:rsid w:val="00512E3A"/>
    <w:rsid w:val="00514396"/>
    <w:rsid w:val="00552DD1"/>
    <w:rsid w:val="00554E02"/>
    <w:rsid w:val="005A1DAF"/>
    <w:rsid w:val="005B4D80"/>
    <w:rsid w:val="005E2D0E"/>
    <w:rsid w:val="00633C11"/>
    <w:rsid w:val="00633E73"/>
    <w:rsid w:val="006B7577"/>
    <w:rsid w:val="006E3F0A"/>
    <w:rsid w:val="00704A89"/>
    <w:rsid w:val="00714130"/>
    <w:rsid w:val="00727C62"/>
    <w:rsid w:val="007938AD"/>
    <w:rsid w:val="007A30FA"/>
    <w:rsid w:val="007D1DFC"/>
    <w:rsid w:val="007D5D41"/>
    <w:rsid w:val="00811DCC"/>
    <w:rsid w:val="00831F03"/>
    <w:rsid w:val="00850B01"/>
    <w:rsid w:val="00884D94"/>
    <w:rsid w:val="00894CA1"/>
    <w:rsid w:val="008B4399"/>
    <w:rsid w:val="008E1425"/>
    <w:rsid w:val="008F656D"/>
    <w:rsid w:val="00924B11"/>
    <w:rsid w:val="009415A3"/>
    <w:rsid w:val="00962988"/>
    <w:rsid w:val="00971185"/>
    <w:rsid w:val="00976E6E"/>
    <w:rsid w:val="00980EAE"/>
    <w:rsid w:val="009828F1"/>
    <w:rsid w:val="00996831"/>
    <w:rsid w:val="009D5789"/>
    <w:rsid w:val="00A15E59"/>
    <w:rsid w:val="00A22B86"/>
    <w:rsid w:val="00A57624"/>
    <w:rsid w:val="00AA0D55"/>
    <w:rsid w:val="00AA22D5"/>
    <w:rsid w:val="00AF4B0B"/>
    <w:rsid w:val="00B606E8"/>
    <w:rsid w:val="00B62D9F"/>
    <w:rsid w:val="00B663A7"/>
    <w:rsid w:val="00BE4D54"/>
    <w:rsid w:val="00BF06FA"/>
    <w:rsid w:val="00C2446A"/>
    <w:rsid w:val="00C24BAB"/>
    <w:rsid w:val="00C2558A"/>
    <w:rsid w:val="00C52250"/>
    <w:rsid w:val="00C62293"/>
    <w:rsid w:val="00C6562F"/>
    <w:rsid w:val="00C92AF3"/>
    <w:rsid w:val="00CB391D"/>
    <w:rsid w:val="00CC327B"/>
    <w:rsid w:val="00CD22C5"/>
    <w:rsid w:val="00CE235D"/>
    <w:rsid w:val="00CE5EEE"/>
    <w:rsid w:val="00CF12A6"/>
    <w:rsid w:val="00D100AD"/>
    <w:rsid w:val="00D44372"/>
    <w:rsid w:val="00D45E93"/>
    <w:rsid w:val="00D46B8E"/>
    <w:rsid w:val="00D54A17"/>
    <w:rsid w:val="00D63FD3"/>
    <w:rsid w:val="00DB231F"/>
    <w:rsid w:val="00DF5B9C"/>
    <w:rsid w:val="00E00450"/>
    <w:rsid w:val="00E009AB"/>
    <w:rsid w:val="00E14FED"/>
    <w:rsid w:val="00E164D4"/>
    <w:rsid w:val="00E20AB4"/>
    <w:rsid w:val="00E21132"/>
    <w:rsid w:val="00E30FC1"/>
    <w:rsid w:val="00E37D8B"/>
    <w:rsid w:val="00E514A4"/>
    <w:rsid w:val="00E73801"/>
    <w:rsid w:val="00ED5C01"/>
    <w:rsid w:val="00EE1684"/>
    <w:rsid w:val="00EE1F1C"/>
    <w:rsid w:val="00EF0DD3"/>
    <w:rsid w:val="00F04CEA"/>
    <w:rsid w:val="00F11CFF"/>
    <w:rsid w:val="00F3292D"/>
    <w:rsid w:val="00F65FBB"/>
    <w:rsid w:val="00F720D6"/>
    <w:rsid w:val="00F737A0"/>
    <w:rsid w:val="00F90F60"/>
    <w:rsid w:val="00FB14D2"/>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D8DBB"/>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semiHidden/>
    <w:unhideWhenUsed/>
    <w:rsid w:val="000B79ED"/>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375602">
      <w:bodyDiv w:val="1"/>
      <w:marLeft w:val="0"/>
      <w:marRight w:val="0"/>
      <w:marTop w:val="0"/>
      <w:marBottom w:val="0"/>
      <w:divBdr>
        <w:top w:val="none" w:sz="0" w:space="0" w:color="auto"/>
        <w:left w:val="none" w:sz="0" w:space="0" w:color="auto"/>
        <w:bottom w:val="none" w:sz="0" w:space="0" w:color="auto"/>
        <w:right w:val="none" w:sz="0" w:space="0" w:color="auto"/>
      </w:divBdr>
    </w:div>
    <w:div w:id="569659608">
      <w:bodyDiv w:val="1"/>
      <w:marLeft w:val="0"/>
      <w:marRight w:val="0"/>
      <w:marTop w:val="0"/>
      <w:marBottom w:val="0"/>
      <w:divBdr>
        <w:top w:val="none" w:sz="0" w:space="0" w:color="auto"/>
        <w:left w:val="none" w:sz="0" w:space="0" w:color="auto"/>
        <w:bottom w:val="none" w:sz="0" w:space="0" w:color="auto"/>
        <w:right w:val="none" w:sz="0" w:space="0" w:color="auto"/>
      </w:divBdr>
    </w:div>
    <w:div w:id="10051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17&amp;DT=G&amp;LID=en" TargetMode="External"/><Relationship Id="rId13" Type="http://schemas.openxmlformats.org/officeDocument/2006/relationships/hyperlink" Target="http://www2.ed.gov/policy/speced/guid/idea/memosdcltrs/11-007493r-co-dude-transition9-3-13.pdf" TargetMode="External"/><Relationship Id="rId18" Type="http://schemas.openxmlformats.org/officeDocument/2006/relationships/hyperlink" Target="http://www.transitionintexas.org/Page/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2.ed.gov/about/offices/list/ocr/letters/parent-20070316.html" TargetMode="External"/><Relationship Id="rId7" Type="http://schemas.openxmlformats.org/officeDocument/2006/relationships/endnotes" Target="endnotes.xml"/><Relationship Id="rId12" Type="http://schemas.openxmlformats.org/officeDocument/2006/relationships/hyperlink" Target="https://www2.ed.gov/policy/speced/guid/idea/memosdcltrs/062212workplacelre2q2012.pdf" TargetMode="External"/><Relationship Id="rId17" Type="http://schemas.openxmlformats.org/officeDocument/2006/relationships/hyperlink" Target="http://tea.texas.gov/index2.aspx?id=214749688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2.ed.gov/policy/gen/guid/correctional-education/idea-letter.pdf" TargetMode="External"/><Relationship Id="rId20" Type="http://schemas.openxmlformats.org/officeDocument/2006/relationships/hyperlink" Target="http://www2.ed.gov/about/offices/list/ocr/transition.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policy/speced/guid/idea/memosdcltrs/062212workplacelre2q2012.pdf" TargetMode="External"/><Relationship Id="rId24" Type="http://schemas.openxmlformats.org/officeDocument/2006/relationships/hyperlink" Target="http://framework.esc18.ne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ed.gov/policy/speced/guid/idea/memosdcltrs/11-007493r-co-dude-transition9-3-13.pdf" TargetMode="External"/><Relationship Id="rId23" Type="http://schemas.openxmlformats.org/officeDocument/2006/relationships/hyperlink" Target="http://www.transitionta.org/" TargetMode="External"/><Relationship Id="rId28" Type="http://schemas.openxmlformats.org/officeDocument/2006/relationships/footer" Target="footer2.xml"/><Relationship Id="rId10" Type="http://schemas.openxmlformats.org/officeDocument/2006/relationships/hyperlink" Target="https://www2.ed.gov/policy/speced/guid/idea/memosdcltrs/062212workplacelre2q2012.pdf" TargetMode="External"/><Relationship Id="rId19" Type="http://schemas.openxmlformats.org/officeDocument/2006/relationships/hyperlink" Target="http://tea.texas.gov/index2.aspx?id=214750577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ea.ed.gov/explore/view/p/%2Croot%2Cdynamic%2CQaCorner%2C10%2C" TargetMode="External"/><Relationship Id="rId14" Type="http://schemas.openxmlformats.org/officeDocument/2006/relationships/hyperlink" Target="http://www2.ed.gov/policy/speced/guid/idea/memosdcltrs/11-007493r-co-dude-transition9-3-13.pdf" TargetMode="External"/><Relationship Id="rId22" Type="http://schemas.openxmlformats.org/officeDocument/2006/relationships/hyperlink" Target="http://www2.ed.gov/about/offices/list/ocr/transitionguide.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6303BD4-2183-4EFE-BDE8-3B4D2249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34</cp:revision>
  <cp:lastPrinted>2016-03-01T22:06:00Z</cp:lastPrinted>
  <dcterms:created xsi:type="dcterms:W3CDTF">2021-10-14T14:49:00Z</dcterms:created>
  <dcterms:modified xsi:type="dcterms:W3CDTF">2025-10-27T15:08:00Z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