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6CE29" w14:textId="77777777" w:rsidR="002045E8" w:rsidRDefault="002045E8" w:rsidP="002045E8">
      <w:pPr>
        <w:spacing w:after="0" w:line="240" w:lineRule="auto"/>
        <w:rPr>
          <w:szCs w:val="20"/>
        </w:rPr>
      </w:pPr>
    </w:p>
    <w:p w14:paraId="704FB82F"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4E1B1D">
          <w:rPr>
            <w:rStyle w:val="Hyperlink"/>
            <w:color w:val="0000FF"/>
            <w:szCs w:val="20"/>
          </w:rPr>
          <w:t>Use of State Special Education Funds</w:t>
        </w:r>
      </w:hyperlink>
      <w:r w:rsidRPr="008E1425">
        <w:rPr>
          <w:color w:val="000000" w:themeColor="text1"/>
          <w:szCs w:val="20"/>
        </w:rPr>
        <w:t xml:space="preserve"> </w:t>
      </w:r>
    </w:p>
    <w:p w14:paraId="3D59D33E"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Funding</w:t>
      </w:r>
      <w:r w:rsidR="009415A3" w:rsidRPr="008E1425">
        <w:rPr>
          <w:color w:val="000000" w:themeColor="text1"/>
          <w:szCs w:val="20"/>
        </w:rPr>
        <w:t xml:space="preserve"> </w:t>
      </w:r>
      <w:r w:rsidR="009415A3">
        <w:rPr>
          <w:color w:val="000099"/>
          <w:szCs w:val="20"/>
        </w:rPr>
        <w:tab/>
      </w:r>
      <w:r w:rsidR="00A9667A">
        <w:rPr>
          <w:color w:val="000000" w:themeColor="text1"/>
          <w:sz w:val="12"/>
          <w:szCs w:val="12"/>
        </w:rPr>
        <w:t>Template update Oct</w:t>
      </w:r>
      <w:r w:rsidR="009415A3" w:rsidRPr="009415A3">
        <w:rPr>
          <w:color w:val="000000" w:themeColor="text1"/>
          <w:sz w:val="12"/>
          <w:szCs w:val="12"/>
        </w:rPr>
        <w:t xml:space="preserve"> 2016</w:t>
      </w:r>
    </w:p>
    <w:p w14:paraId="3A09C837" w14:textId="77777777" w:rsidR="000C551A" w:rsidRPr="009415A3" w:rsidRDefault="000C551A" w:rsidP="00FC4DAA">
      <w:pPr>
        <w:spacing w:after="0" w:line="240" w:lineRule="auto"/>
        <w:rPr>
          <w:color w:val="000000" w:themeColor="text1"/>
        </w:rPr>
      </w:pPr>
    </w:p>
    <w:p w14:paraId="2452C5E4" w14:textId="77777777" w:rsidR="00241FD8" w:rsidRPr="00241FD8" w:rsidRDefault="00241FD8" w:rsidP="00BF6CC4">
      <w:pPr>
        <w:spacing w:after="0" w:line="240" w:lineRule="auto"/>
        <w:jc w:val="both"/>
        <w:rPr>
          <w:rFonts w:eastAsia="Times New Roman" w:cs="Times New Roman"/>
          <w:b/>
          <w:color w:val="auto"/>
          <w:szCs w:val="20"/>
          <w:u w:val="single"/>
        </w:rPr>
      </w:pPr>
      <w:r w:rsidRPr="00241FD8">
        <w:rPr>
          <w:rFonts w:eastAsia="Times New Roman" w:cs="Times New Roman"/>
          <w:b/>
          <w:color w:val="auto"/>
          <w:szCs w:val="20"/>
          <w:u w:val="single"/>
        </w:rPr>
        <w:t xml:space="preserve">Application Guidance </w:t>
      </w:r>
    </w:p>
    <w:p w14:paraId="167E827D" w14:textId="77777777" w:rsidR="00241FD8" w:rsidRDefault="00241FD8" w:rsidP="00BF6CC4">
      <w:pPr>
        <w:spacing w:after="0" w:line="240" w:lineRule="auto"/>
        <w:jc w:val="both"/>
        <w:rPr>
          <w:rFonts w:eastAsia="Times New Roman" w:cs="Times New Roman"/>
          <w:color w:val="auto"/>
          <w:szCs w:val="20"/>
        </w:rPr>
      </w:pPr>
    </w:p>
    <w:p w14:paraId="0E60B3E7" w14:textId="77777777" w:rsidR="00EC7B0E" w:rsidRDefault="005F60F1" w:rsidP="00EC7B0E">
      <w:pPr>
        <w:pStyle w:val="ListParagraph"/>
        <w:numPr>
          <w:ilvl w:val="0"/>
          <w:numId w:val="17"/>
        </w:numPr>
        <w:spacing w:after="0" w:line="240" w:lineRule="auto"/>
        <w:jc w:val="both"/>
        <w:rPr>
          <w:rFonts w:eastAsia="Times New Roman" w:cs="Times New Roman"/>
          <w:color w:val="auto"/>
          <w:szCs w:val="20"/>
        </w:rPr>
      </w:pPr>
      <w:hyperlink r:id="rId9" w:history="1">
        <w:r w:rsidR="00EC7B0E" w:rsidRPr="00A9667A">
          <w:rPr>
            <w:rStyle w:val="Hyperlink"/>
            <w:rFonts w:eastAsia="Times New Roman" w:cs="Times New Roman"/>
            <w:iCs/>
            <w:color w:val="0000FF"/>
            <w:szCs w:val="20"/>
          </w:rPr>
          <w:t>Financial Accountability System Resource Guide </w:t>
        </w:r>
        <w:r w:rsidR="00EC7B0E" w:rsidRPr="00A9667A">
          <w:rPr>
            <w:rStyle w:val="Hyperlink"/>
            <w:rFonts w:eastAsia="Times New Roman" w:cs="Times New Roman"/>
            <w:color w:val="0000FF"/>
            <w:szCs w:val="20"/>
          </w:rPr>
          <w:t>(</w:t>
        </w:r>
        <w:r w:rsidR="00EC7B0E" w:rsidRPr="00A9667A">
          <w:rPr>
            <w:rStyle w:val="Hyperlink"/>
            <w:rFonts w:eastAsia="Times New Roman" w:cs="Times New Roman"/>
            <w:iCs/>
            <w:color w:val="0000FF"/>
            <w:szCs w:val="20"/>
          </w:rPr>
          <w:t>FASRG</w:t>
        </w:r>
        <w:r w:rsidR="00EC7B0E" w:rsidRPr="00A9667A">
          <w:rPr>
            <w:rStyle w:val="Hyperlink"/>
            <w:rFonts w:eastAsia="Times New Roman" w:cs="Times New Roman"/>
            <w:color w:val="0000FF"/>
            <w:szCs w:val="20"/>
          </w:rPr>
          <w:t>)</w:t>
        </w:r>
      </w:hyperlink>
      <w:r w:rsidR="00EC7B0E">
        <w:rPr>
          <w:rFonts w:eastAsia="Times New Roman" w:cs="Times New Roman"/>
          <w:color w:val="auto"/>
          <w:szCs w:val="20"/>
        </w:rPr>
        <w:t xml:space="preserve"> (TEA)</w:t>
      </w:r>
    </w:p>
    <w:p w14:paraId="2EE26B21" w14:textId="77777777" w:rsidR="00EC7B0E" w:rsidRPr="00EC7B0E" w:rsidRDefault="005F60F1" w:rsidP="00EC7B0E">
      <w:pPr>
        <w:pStyle w:val="ListParagraph"/>
        <w:numPr>
          <w:ilvl w:val="0"/>
          <w:numId w:val="17"/>
        </w:numPr>
        <w:spacing w:after="0" w:line="240" w:lineRule="auto"/>
        <w:jc w:val="both"/>
        <w:rPr>
          <w:rFonts w:eastAsia="Times New Roman" w:cs="Times New Roman"/>
          <w:color w:val="auto"/>
          <w:szCs w:val="20"/>
        </w:rPr>
      </w:pPr>
      <w:hyperlink r:id="rId10" w:history="1">
        <w:r w:rsidR="00EC7B0E" w:rsidRPr="00A9667A">
          <w:rPr>
            <w:rStyle w:val="Hyperlink"/>
            <w:rFonts w:eastAsia="Times New Roman" w:cs="Times New Roman"/>
            <w:color w:val="0000FF"/>
            <w:szCs w:val="20"/>
          </w:rPr>
          <w:t>Office for Grants and Federal Fiscal Compliance</w:t>
        </w:r>
      </w:hyperlink>
      <w:r w:rsidR="00EC7B0E">
        <w:rPr>
          <w:rFonts w:eastAsia="Times New Roman" w:cs="Times New Roman"/>
          <w:color w:val="auto"/>
          <w:szCs w:val="20"/>
        </w:rPr>
        <w:t xml:space="preserve"> (TEA)</w:t>
      </w:r>
    </w:p>
    <w:p w14:paraId="3F348C08" w14:textId="77777777" w:rsidR="00EC7B0E" w:rsidRPr="00EC7B0E" w:rsidRDefault="00EC7B0E" w:rsidP="00A9667A">
      <w:pPr>
        <w:pStyle w:val="ListParagraph"/>
        <w:numPr>
          <w:ilvl w:val="0"/>
          <w:numId w:val="17"/>
        </w:numPr>
        <w:spacing w:after="0" w:line="240" w:lineRule="auto"/>
        <w:rPr>
          <w:rFonts w:ascii="Times New Roman" w:hAnsi="Times New Roman"/>
        </w:rPr>
      </w:pPr>
      <w:r w:rsidRPr="00EC7B0E">
        <w:rPr>
          <w:color w:val="000000"/>
        </w:rPr>
        <w:t>Program Guidelines 201</w:t>
      </w:r>
      <w:r w:rsidR="0083209D">
        <w:rPr>
          <w:color w:val="000000"/>
        </w:rPr>
        <w:t>8</w:t>
      </w:r>
      <w:r w:rsidRPr="00EC7B0E">
        <w:rPr>
          <w:color w:val="000000"/>
        </w:rPr>
        <w:t>-201</w:t>
      </w:r>
      <w:r w:rsidR="0083209D">
        <w:rPr>
          <w:color w:val="000000"/>
        </w:rPr>
        <w:t>9</w:t>
      </w:r>
      <w:r w:rsidRPr="00EC7B0E">
        <w:rPr>
          <w:color w:val="000000"/>
        </w:rPr>
        <w:t xml:space="preserve"> Special Education Consolidated Grant Application (TEA)</w:t>
      </w:r>
    </w:p>
    <w:p w14:paraId="5DECEDD7" w14:textId="77777777" w:rsidR="00EC18F2" w:rsidRPr="00EC18F2" w:rsidRDefault="005F60F1" w:rsidP="00EC18F2">
      <w:pPr>
        <w:numPr>
          <w:ilvl w:val="1"/>
          <w:numId w:val="17"/>
        </w:numPr>
        <w:spacing w:before="100" w:beforeAutospacing="1" w:after="100" w:afterAutospacing="1" w:line="240" w:lineRule="auto"/>
        <w:rPr>
          <w:color w:val="0000FF"/>
        </w:rPr>
      </w:pPr>
      <w:hyperlink r:id="rId11" w:anchor="page=36-69" w:tgtFrame="_blank" w:tooltip="click here" w:history="1">
        <w:r w:rsidR="00EC18F2" w:rsidRPr="00EC18F2">
          <w:rPr>
            <w:rStyle w:val="Hyperlink"/>
            <w:color w:val="0000FF"/>
          </w:rPr>
          <w:t>Appendix A. Allowable and Unallowable Expenditures, pgs. 36-69</w:t>
        </w:r>
      </w:hyperlink>
    </w:p>
    <w:p w14:paraId="656D3043" w14:textId="77777777" w:rsidR="00A9667A" w:rsidRPr="00A9667A" w:rsidRDefault="00A9667A" w:rsidP="00A9667A">
      <w:pPr>
        <w:spacing w:after="0" w:line="240" w:lineRule="auto"/>
        <w:rPr>
          <w:rFonts w:ascii="Times New Roman" w:hAnsi="Times New Roman"/>
        </w:rPr>
      </w:pPr>
    </w:p>
    <w:p w14:paraId="28E16E68" w14:textId="0E51D880" w:rsidR="004E2A26" w:rsidRPr="004E2A26" w:rsidRDefault="004E2A26" w:rsidP="006E3F0A">
      <w:pPr>
        <w:spacing w:after="0" w:line="240" w:lineRule="auto"/>
        <w:jc w:val="both"/>
        <w:rPr>
          <w:rFonts w:eastAsia="Times New Roman" w:cs="Times New Roman"/>
          <w:color w:val="auto"/>
          <w:szCs w:val="20"/>
        </w:rPr>
      </w:pPr>
      <w:r w:rsidRPr="004E2A26">
        <w:rPr>
          <w:rFonts w:eastAsia="Times New Roman" w:cs="Times New Roman"/>
          <w:color w:val="auto"/>
          <w:szCs w:val="20"/>
        </w:rPr>
        <w:t>Through the implementation of the</w:t>
      </w:r>
      <w:r w:rsidR="004F2CED">
        <w:rPr>
          <w:rFonts w:eastAsia="Times New Roman" w:cs="Times New Roman"/>
          <w:color w:val="auto"/>
          <w:szCs w:val="20"/>
        </w:rPr>
        <w:t xml:space="preserve"> member district </w:t>
      </w:r>
      <w:r w:rsidRPr="004E2A26">
        <w:rPr>
          <w:rFonts w:eastAsia="Times New Roman" w:cs="Times New Roman"/>
          <w:color w:val="auto"/>
          <w:szCs w:val="20"/>
        </w:rPr>
        <w:t xml:space="preserve">policies and procedures as outlined in the </w:t>
      </w:r>
      <w:hyperlink r:id="rId12"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 </w:t>
      </w:r>
      <w:r w:rsidR="004F2CED">
        <w:rPr>
          <w:rFonts w:eastAsia="Times New Roman" w:cs="Times New Roman"/>
          <w:color w:val="auto"/>
          <w:szCs w:val="20"/>
        </w:rPr>
        <w:t>member district</w:t>
      </w:r>
      <w:r w:rsidRPr="004E2A26">
        <w:rPr>
          <w:rFonts w:eastAsia="Times New Roman" w:cs="Times New Roman"/>
          <w:color w:val="auto"/>
          <w:szCs w:val="20"/>
        </w:rPr>
        <w:t xml:space="preserve"> ensures </w:t>
      </w:r>
      <w:r w:rsidR="00C85500" w:rsidRPr="00C85500">
        <w:rPr>
          <w:rFonts w:eastAsia="Times New Roman" w:cs="Times New Roman"/>
          <w:color w:val="auto"/>
          <w:szCs w:val="20"/>
        </w:rPr>
        <w:t xml:space="preserve">use of State special education funds in compliance with the </w:t>
      </w:r>
      <w:r w:rsidR="00A9667A">
        <w:rPr>
          <w:rFonts w:eastAsia="Times New Roman" w:cs="Times New Roman"/>
          <w:color w:val="auto"/>
          <w:szCs w:val="20"/>
        </w:rPr>
        <w:t>Individuals with Disabilities Education Act (</w:t>
      </w:r>
      <w:r w:rsidR="00C85500" w:rsidRPr="00C85500">
        <w:rPr>
          <w:rFonts w:eastAsia="Times New Roman" w:cs="Times New Roman"/>
          <w:color w:val="auto"/>
          <w:szCs w:val="20"/>
        </w:rPr>
        <w:t>IDEA</w:t>
      </w:r>
      <w:r w:rsidR="00A9667A">
        <w:rPr>
          <w:rFonts w:eastAsia="Times New Roman" w:cs="Times New Roman"/>
          <w:color w:val="auto"/>
          <w:szCs w:val="20"/>
        </w:rPr>
        <w:t>)</w:t>
      </w:r>
      <w:r w:rsidR="00C85500" w:rsidRPr="00C85500">
        <w:rPr>
          <w:rFonts w:eastAsia="Times New Roman" w:cs="Times New Roman"/>
          <w:color w:val="auto"/>
          <w:szCs w:val="20"/>
        </w:rPr>
        <w:t xml:space="preserve"> and its accompanying federal regulations, state statutes and regulations</w:t>
      </w:r>
      <w:r w:rsidRPr="004E2A26">
        <w:rPr>
          <w:rFonts w:eastAsia="Times New Roman" w:cs="Times New Roman"/>
          <w:color w:val="auto"/>
          <w:szCs w:val="20"/>
        </w:rPr>
        <w:t>.</w:t>
      </w:r>
    </w:p>
    <w:p w14:paraId="6B554D1E" w14:textId="77777777" w:rsidR="00E21132" w:rsidRPr="002045E8" w:rsidRDefault="00E21132" w:rsidP="006E3F0A">
      <w:pPr>
        <w:spacing w:after="0" w:line="240" w:lineRule="auto"/>
        <w:jc w:val="both"/>
        <w:rPr>
          <w:rFonts w:eastAsia="Times New Roman" w:cs="Times New Roman"/>
          <w:color w:val="auto"/>
          <w:szCs w:val="20"/>
        </w:rPr>
      </w:pPr>
    </w:p>
    <w:p w14:paraId="427C60B9" w14:textId="77777777" w:rsidR="00DB231F" w:rsidRDefault="005F60F1" w:rsidP="009415A3">
      <w:pPr>
        <w:spacing w:after="0" w:line="240" w:lineRule="auto"/>
        <w:rPr>
          <w:szCs w:val="20"/>
        </w:rPr>
      </w:pPr>
      <w:r>
        <w:rPr>
          <w:szCs w:val="20"/>
        </w:rPr>
        <w:pict w14:anchorId="59293C9F">
          <v:rect id="_x0000_i1025" style="width:468pt;height:3pt" o:hralign="center" o:hrstd="t" o:hrnoshade="t" o:hr="t" fillcolor="#0f3966 [3204]" stroked="f"/>
        </w:pict>
      </w:r>
    </w:p>
    <w:p w14:paraId="0EE04330" w14:textId="0DEB47E4" w:rsidR="00B600D1" w:rsidRPr="004F2CED" w:rsidRDefault="004F2CED" w:rsidP="004F2CED">
      <w:pPr>
        <w:spacing w:after="0" w:line="240" w:lineRule="auto"/>
        <w:rPr>
          <w:color w:val="auto"/>
          <w:u w:val="single"/>
        </w:rPr>
      </w:pPr>
      <w:r w:rsidRPr="004F2CED">
        <w:rPr>
          <w:color w:val="auto"/>
          <w:u w:val="single"/>
        </w:rPr>
        <w:t>Special Education Grants</w:t>
      </w:r>
    </w:p>
    <w:p w14:paraId="6862E66F" w14:textId="4874E4BF" w:rsidR="00B600D1" w:rsidRPr="00E54678" w:rsidRDefault="00B600D1" w:rsidP="00850B01">
      <w:pPr>
        <w:spacing w:after="120" w:line="240" w:lineRule="auto"/>
        <w:rPr>
          <w:color w:val="auto"/>
        </w:rPr>
      </w:pPr>
      <w:r w:rsidRPr="00E54678">
        <w:rPr>
          <w:color w:val="auto"/>
        </w:rPr>
        <w:t>The LEA that applies for a special education grant must provide a report comparing the state and federal funds received by the LEA for children with disabilities and the expenses incurred by the LEA in providing special education services to children with disabilities.</w:t>
      </w:r>
    </w:p>
    <w:p w14:paraId="47786068" w14:textId="33A4D10F" w:rsidR="00B600D1" w:rsidRPr="00E54678" w:rsidRDefault="00B600D1" w:rsidP="00850B01">
      <w:pPr>
        <w:spacing w:after="120" w:line="240" w:lineRule="auto"/>
        <w:rPr>
          <w:color w:val="auto"/>
        </w:rPr>
      </w:pPr>
      <w:r w:rsidRPr="00E54678">
        <w:rPr>
          <w:color w:val="auto"/>
        </w:rPr>
        <w:t xml:space="preserve">The LEA that receives a special education grant must educate children with disabilities in the </w:t>
      </w:r>
      <w:r w:rsidR="00C248CE">
        <w:rPr>
          <w:color w:val="auto"/>
        </w:rPr>
        <w:t>Least Restrictive Environment</w:t>
      </w:r>
      <w:r w:rsidRPr="00E54678">
        <w:rPr>
          <w:color w:val="auto"/>
        </w:rPr>
        <w:t xml:space="preserve"> that is appropriate to meet the children's educational needs.</w:t>
      </w:r>
    </w:p>
    <w:p w14:paraId="5C2287A3" w14:textId="1E920A41" w:rsidR="00B600D1" w:rsidRPr="004F2CED" w:rsidRDefault="004F2CED" w:rsidP="004F2CED">
      <w:pPr>
        <w:spacing w:after="0" w:line="240" w:lineRule="auto"/>
        <w:rPr>
          <w:color w:val="auto"/>
          <w:u w:val="single"/>
        </w:rPr>
      </w:pPr>
      <w:r w:rsidRPr="004F2CED">
        <w:rPr>
          <w:color w:val="auto"/>
          <w:u w:val="single"/>
        </w:rPr>
        <w:t>Use of Funds</w:t>
      </w:r>
    </w:p>
    <w:p w14:paraId="084BCE90" w14:textId="701A79E4" w:rsidR="00B600D1" w:rsidRPr="00E54678" w:rsidRDefault="00B600D1" w:rsidP="00850B01">
      <w:pPr>
        <w:spacing w:after="120" w:line="240" w:lineRule="auto"/>
        <w:rPr>
          <w:color w:val="auto"/>
        </w:rPr>
      </w:pPr>
      <w:r w:rsidRPr="00E54678">
        <w:rPr>
          <w:color w:val="auto"/>
        </w:rPr>
        <w:t>State special education funds may be used for special materials, supplies, and equipment which are directly related to the development and implementation of individualized education programs (IEP) of children and which are not ordinarily purchased for the regular classroom.</w:t>
      </w:r>
    </w:p>
    <w:p w14:paraId="42C3226E" w14:textId="7F3D0FE8" w:rsidR="00B600D1" w:rsidRPr="00E54678" w:rsidRDefault="00B600D1" w:rsidP="00850B01">
      <w:pPr>
        <w:spacing w:after="120" w:line="240" w:lineRule="auto"/>
        <w:rPr>
          <w:color w:val="auto"/>
        </w:rPr>
      </w:pPr>
      <w:r w:rsidRPr="00E54678">
        <w:rPr>
          <w:color w:val="auto"/>
        </w:rPr>
        <w:t>State special education funds may be used to contract with consultants to provide staff development, program planning and evaluation, instructional services, assessments, and related services to children with disabilities.</w:t>
      </w:r>
    </w:p>
    <w:p w14:paraId="64982D97" w14:textId="29DB7905" w:rsidR="00B600D1" w:rsidRPr="00E54678" w:rsidRDefault="00B600D1" w:rsidP="00850B01">
      <w:pPr>
        <w:spacing w:after="120" w:line="240" w:lineRule="auto"/>
        <w:rPr>
          <w:color w:val="auto"/>
        </w:rPr>
      </w:pPr>
      <w:r w:rsidRPr="00E54678">
        <w:rPr>
          <w:color w:val="auto"/>
        </w:rPr>
        <w:t>State special education funds may be used to pay staff travel to perform services directly related to the education of eligible children with disabilities.</w:t>
      </w:r>
    </w:p>
    <w:p w14:paraId="63BE8344" w14:textId="01490CE1" w:rsidR="00B600D1" w:rsidRPr="00E54678" w:rsidRDefault="00B600D1" w:rsidP="00850B01">
      <w:pPr>
        <w:spacing w:after="120" w:line="240" w:lineRule="auto"/>
        <w:rPr>
          <w:color w:val="auto"/>
        </w:rPr>
      </w:pPr>
      <w:r w:rsidRPr="00E54678">
        <w:rPr>
          <w:color w:val="auto"/>
        </w:rPr>
        <w:t>Funds may also be used to pay travel of staff, including administrators, general education teachers, and special education teachers and service providers to attend staff development meetings for the purpose of improving performance in assigned positions directly related to the education of eligible children with disabilities.</w:t>
      </w:r>
    </w:p>
    <w:p w14:paraId="32E62AFD" w14:textId="759A9DE0" w:rsidR="00B600D1" w:rsidRPr="004F2CED" w:rsidRDefault="004F2CED" w:rsidP="004F2CED">
      <w:pPr>
        <w:spacing w:after="0" w:line="240" w:lineRule="auto"/>
        <w:rPr>
          <w:color w:val="auto"/>
          <w:u w:val="single"/>
        </w:rPr>
      </w:pPr>
      <w:r w:rsidRPr="004F2CED">
        <w:rPr>
          <w:color w:val="auto"/>
          <w:u w:val="single"/>
        </w:rPr>
        <w:t>Use of Funds for Personnel</w:t>
      </w:r>
    </w:p>
    <w:p w14:paraId="6E22D7C8" w14:textId="2889ADAC" w:rsidR="00B600D1" w:rsidRDefault="00B600D1" w:rsidP="00850B01">
      <w:pPr>
        <w:spacing w:after="120" w:line="240" w:lineRule="auto"/>
        <w:rPr>
          <w:color w:val="auto"/>
        </w:rPr>
      </w:pPr>
      <w:r w:rsidRPr="00E54678">
        <w:rPr>
          <w:color w:val="auto"/>
        </w:rPr>
        <w:t>If personnel are assigned to special education on less than a full-time basis, only that portion of time for which the personnel are assigned to children with disabilities may be paid from state special education funds.</w:t>
      </w:r>
    </w:p>
    <w:p w14:paraId="44D85C40" w14:textId="77777777" w:rsidR="00C749F6" w:rsidRPr="00E54678" w:rsidRDefault="00C749F6" w:rsidP="00850B01">
      <w:pPr>
        <w:spacing w:after="120" w:line="240" w:lineRule="auto"/>
        <w:rPr>
          <w:color w:val="auto"/>
        </w:rPr>
      </w:pPr>
    </w:p>
    <w:p w14:paraId="64844D58" w14:textId="750704FE" w:rsidR="00335F7A" w:rsidRDefault="00335F7A" w:rsidP="00335F7A">
      <w:pPr>
        <w:spacing w:after="0" w:line="240" w:lineRule="auto"/>
        <w:rPr>
          <w:color w:val="auto"/>
          <w:szCs w:val="20"/>
        </w:rPr>
      </w:pPr>
      <w:r>
        <w:rPr>
          <w:rFonts w:cs="Calibri"/>
          <w:b/>
          <w:bCs/>
          <w:color w:val="000000" w:themeColor="text1"/>
          <w:szCs w:val="20"/>
        </w:rPr>
        <w:t>Staff Responsible</w:t>
      </w:r>
      <w:r>
        <w:rPr>
          <w:color w:val="auto"/>
          <w:szCs w:val="20"/>
        </w:rPr>
        <w:t>: PEIMS Clerks, Principals and Central Office Administration, Special Education Director, Budget Clerk</w:t>
      </w:r>
    </w:p>
    <w:p w14:paraId="42980CB3" w14:textId="77777777" w:rsidR="00335F7A" w:rsidRDefault="00335F7A" w:rsidP="00335F7A">
      <w:pPr>
        <w:spacing w:after="0" w:line="240" w:lineRule="auto"/>
        <w:rPr>
          <w:color w:val="auto"/>
          <w:szCs w:val="20"/>
        </w:rPr>
      </w:pPr>
    </w:p>
    <w:p w14:paraId="5E2BFFCC" w14:textId="77777777" w:rsidR="00335F7A" w:rsidRDefault="00335F7A" w:rsidP="00335F7A">
      <w:pPr>
        <w:spacing w:after="0" w:line="240" w:lineRule="auto"/>
        <w:rPr>
          <w:rFonts w:cs="Calibri"/>
          <w:b/>
          <w:color w:val="000000"/>
          <w:szCs w:val="20"/>
        </w:rPr>
      </w:pPr>
      <w:r>
        <w:rPr>
          <w:rFonts w:cs="Calibri"/>
          <w:b/>
          <w:color w:val="000000"/>
          <w:szCs w:val="20"/>
        </w:rPr>
        <w:t>Evidence of Practice:</w:t>
      </w:r>
    </w:p>
    <w:p w14:paraId="59012DF8" w14:textId="77777777" w:rsidR="00335F7A" w:rsidRDefault="00335F7A" w:rsidP="00335F7A">
      <w:pPr>
        <w:pStyle w:val="ListParagraph"/>
        <w:numPr>
          <w:ilvl w:val="0"/>
          <w:numId w:val="32"/>
        </w:numPr>
        <w:spacing w:after="0" w:line="240" w:lineRule="auto"/>
        <w:rPr>
          <w:color w:val="auto"/>
          <w:szCs w:val="20"/>
        </w:rPr>
      </w:pPr>
      <w:r>
        <w:rPr>
          <w:color w:val="auto"/>
          <w:szCs w:val="20"/>
        </w:rPr>
        <w:t>PEIMS data related to Least Restrictive Environment</w:t>
      </w:r>
    </w:p>
    <w:p w14:paraId="1D4D5C69" w14:textId="77777777" w:rsidR="00335F7A" w:rsidRDefault="00335F7A" w:rsidP="00335F7A">
      <w:pPr>
        <w:pStyle w:val="ListParagraph"/>
        <w:numPr>
          <w:ilvl w:val="0"/>
          <w:numId w:val="32"/>
        </w:numPr>
        <w:spacing w:after="0" w:line="240" w:lineRule="auto"/>
        <w:rPr>
          <w:color w:val="auto"/>
          <w:szCs w:val="20"/>
        </w:rPr>
      </w:pPr>
      <w:r>
        <w:rPr>
          <w:color w:val="auto"/>
          <w:szCs w:val="20"/>
        </w:rPr>
        <w:t>Grant applications</w:t>
      </w:r>
    </w:p>
    <w:p w14:paraId="3BDEEF67" w14:textId="2BD22A5D" w:rsidR="00335F7A" w:rsidRDefault="00335F7A" w:rsidP="00335F7A">
      <w:pPr>
        <w:pStyle w:val="ListParagraph"/>
        <w:numPr>
          <w:ilvl w:val="0"/>
          <w:numId w:val="32"/>
        </w:numPr>
        <w:spacing w:after="0" w:line="240" w:lineRule="auto"/>
        <w:rPr>
          <w:color w:val="auto"/>
          <w:szCs w:val="20"/>
        </w:rPr>
      </w:pPr>
      <w:r>
        <w:rPr>
          <w:color w:val="auto"/>
          <w:szCs w:val="20"/>
        </w:rPr>
        <w:t>Report relating to use of funds</w:t>
      </w:r>
    </w:p>
    <w:p w14:paraId="38B00149" w14:textId="2933E029" w:rsidR="00C749F6" w:rsidRDefault="00C749F6" w:rsidP="00335F7A">
      <w:pPr>
        <w:pStyle w:val="ListParagraph"/>
        <w:numPr>
          <w:ilvl w:val="0"/>
          <w:numId w:val="32"/>
        </w:numPr>
        <w:spacing w:after="0" w:line="240" w:lineRule="auto"/>
        <w:rPr>
          <w:color w:val="auto"/>
          <w:szCs w:val="20"/>
        </w:rPr>
      </w:pPr>
      <w:r>
        <w:rPr>
          <w:color w:val="auto"/>
          <w:szCs w:val="20"/>
        </w:rPr>
        <w:t>Documentation of contract services</w:t>
      </w:r>
    </w:p>
    <w:p w14:paraId="261EAC66" w14:textId="77777777" w:rsidR="00B8126E" w:rsidRPr="00850D10" w:rsidRDefault="00B8126E" w:rsidP="00B8126E">
      <w:pPr>
        <w:spacing w:after="0" w:line="240" w:lineRule="auto"/>
        <w:rPr>
          <w:color w:val="auto"/>
          <w:szCs w:val="20"/>
        </w:rPr>
      </w:pPr>
    </w:p>
    <w:p w14:paraId="0D326F4F" w14:textId="77777777" w:rsidR="00C31D10" w:rsidRPr="00CD5CA8" w:rsidRDefault="00C31D10" w:rsidP="00850B01">
      <w:pPr>
        <w:spacing w:after="120" w:line="240" w:lineRule="auto"/>
        <w:rPr>
          <w:color w:val="auto"/>
        </w:rPr>
      </w:pPr>
    </w:p>
    <w:p w14:paraId="3A1DFA5B" w14:textId="511F9854" w:rsidR="00BF7904" w:rsidRDefault="00BF7904" w:rsidP="00850B01">
      <w:pPr>
        <w:spacing w:after="120" w:line="240" w:lineRule="auto"/>
        <w:rPr>
          <w:color w:val="auto"/>
        </w:rPr>
      </w:pPr>
    </w:p>
    <w:p w14:paraId="54D127D3" w14:textId="77777777" w:rsidR="00BF7904" w:rsidRPr="00BF7904" w:rsidRDefault="00BF7904" w:rsidP="00BF7904"/>
    <w:p w14:paraId="2F2849CD" w14:textId="77777777" w:rsidR="00BF7904" w:rsidRPr="00BF7904" w:rsidRDefault="00BF7904" w:rsidP="00BF7904"/>
    <w:p w14:paraId="29FA4DF2" w14:textId="77777777" w:rsidR="00BF7904" w:rsidRPr="00BF7904" w:rsidRDefault="00BF7904" w:rsidP="00BF7904"/>
    <w:p w14:paraId="7A107763" w14:textId="77777777" w:rsidR="00BF7904" w:rsidRPr="00BF7904" w:rsidRDefault="00BF7904" w:rsidP="00BF7904"/>
    <w:p w14:paraId="59EB3344" w14:textId="77777777" w:rsidR="00BF7904" w:rsidRPr="00BF7904" w:rsidRDefault="00BF7904" w:rsidP="00BF7904"/>
    <w:p w14:paraId="2AE3A0EF" w14:textId="77777777" w:rsidR="00BF7904" w:rsidRPr="00BF7904" w:rsidRDefault="00BF7904" w:rsidP="00BF7904"/>
    <w:p w14:paraId="4DFFD7E8" w14:textId="77777777" w:rsidR="00BF7904" w:rsidRPr="00BF7904" w:rsidRDefault="00BF7904" w:rsidP="00BF7904"/>
    <w:p w14:paraId="13A6805F" w14:textId="77777777" w:rsidR="00BF7904" w:rsidRPr="00BF7904" w:rsidRDefault="00BF7904" w:rsidP="00BF7904"/>
    <w:p w14:paraId="4D76912B" w14:textId="58ABFDDB" w:rsidR="00BF7904" w:rsidRPr="00BF7904" w:rsidRDefault="00BF7904" w:rsidP="00BF7904">
      <w:pPr>
        <w:tabs>
          <w:tab w:val="left" w:pos="8625"/>
        </w:tabs>
      </w:pPr>
      <w:r>
        <w:tab/>
      </w:r>
    </w:p>
    <w:p w14:paraId="4423AAC1" w14:textId="0697C1D1" w:rsidR="00C76F9D" w:rsidRDefault="00C76F9D" w:rsidP="00BF7904"/>
    <w:p w14:paraId="47B9BDA7" w14:textId="77777777" w:rsidR="00C76F9D" w:rsidRPr="00C76F9D" w:rsidRDefault="00C76F9D" w:rsidP="00C76F9D"/>
    <w:p w14:paraId="0A533F7B" w14:textId="77777777" w:rsidR="00C76F9D" w:rsidRPr="00C76F9D" w:rsidRDefault="00C76F9D" w:rsidP="00C76F9D"/>
    <w:p w14:paraId="27D795DA" w14:textId="77777777" w:rsidR="00C76F9D" w:rsidRPr="00C76F9D" w:rsidRDefault="00C76F9D" w:rsidP="00C76F9D"/>
    <w:p w14:paraId="546A492E" w14:textId="77777777" w:rsidR="00C76F9D" w:rsidRPr="00C76F9D" w:rsidRDefault="00C76F9D" w:rsidP="00C76F9D"/>
    <w:p w14:paraId="162DA626" w14:textId="77777777" w:rsidR="00C76F9D" w:rsidRPr="00C76F9D" w:rsidRDefault="00C76F9D" w:rsidP="00C76F9D"/>
    <w:p w14:paraId="226ECB3D" w14:textId="77777777" w:rsidR="00C76F9D" w:rsidRPr="00C76F9D" w:rsidRDefault="00C76F9D" w:rsidP="00C76F9D"/>
    <w:p w14:paraId="79B27EB2" w14:textId="77777777" w:rsidR="00C76F9D" w:rsidRPr="00C76F9D" w:rsidRDefault="00C76F9D" w:rsidP="00C76F9D"/>
    <w:p w14:paraId="2F5F2205" w14:textId="77777777" w:rsidR="00C76F9D" w:rsidRPr="00C76F9D" w:rsidRDefault="00C76F9D" w:rsidP="00C76F9D"/>
    <w:p w14:paraId="402ADF1C" w14:textId="77777777" w:rsidR="00C76F9D" w:rsidRPr="00C76F9D" w:rsidRDefault="00C76F9D" w:rsidP="00C76F9D"/>
    <w:p w14:paraId="06F32328" w14:textId="47BDFC47" w:rsidR="00C31D10" w:rsidRPr="00C76F9D" w:rsidRDefault="00C76F9D" w:rsidP="00C76F9D">
      <w:pPr>
        <w:tabs>
          <w:tab w:val="left" w:pos="2430"/>
        </w:tabs>
      </w:pPr>
      <w:r>
        <w:tab/>
      </w:r>
    </w:p>
    <w:sectPr w:rsidR="00C31D10" w:rsidRPr="00C76F9D" w:rsidSect="00A15E59">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CFAF4" w14:textId="77777777" w:rsidR="005F60F1" w:rsidRDefault="005F60F1">
      <w:pPr>
        <w:spacing w:after="0" w:line="240" w:lineRule="auto"/>
      </w:pPr>
      <w:r>
        <w:separator/>
      </w:r>
    </w:p>
  </w:endnote>
  <w:endnote w:type="continuationSeparator" w:id="0">
    <w:p w14:paraId="5E2A4DB4" w14:textId="77777777" w:rsidR="005F60F1" w:rsidRDefault="005F6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E3399" w14:textId="77777777" w:rsidR="00BF7904" w:rsidRDefault="00BF7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9"/>
      <w:gridCol w:w="6071"/>
    </w:tblGrid>
    <w:tr w:rsidR="00A15E59" w:rsidRPr="00CD22C5" w14:paraId="21BF4B91" w14:textId="77777777" w:rsidTr="007A30FA">
      <w:trPr>
        <w:jc w:val="center"/>
      </w:trPr>
      <w:tc>
        <w:tcPr>
          <w:tcW w:w="3348" w:type="dxa"/>
          <w:vAlign w:val="center"/>
        </w:tcPr>
        <w:p w14:paraId="26805AE6" w14:textId="1028DAEA"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1139B7">
            <w:rPr>
              <w:b w:val="0"/>
              <w:sz w:val="16"/>
              <w:szCs w:val="16"/>
            </w:rPr>
            <w:t>Procedures</w:t>
          </w:r>
        </w:p>
      </w:tc>
      <w:tc>
        <w:tcPr>
          <w:tcW w:w="6228" w:type="dxa"/>
          <w:vAlign w:val="center"/>
        </w:tcPr>
        <w:p w14:paraId="252BF0BD" w14:textId="77777777" w:rsidR="00A15E59" w:rsidRPr="009A1B8F" w:rsidRDefault="004E1B1D" w:rsidP="004E1B1D">
          <w:pPr>
            <w:pStyle w:val="Footer"/>
            <w:tabs>
              <w:tab w:val="left" w:pos="1260"/>
            </w:tabs>
            <w:jc w:val="right"/>
            <w:rPr>
              <w:sz w:val="16"/>
              <w:szCs w:val="16"/>
            </w:rPr>
          </w:pPr>
          <w:r>
            <w:rPr>
              <w:sz w:val="16"/>
              <w:szCs w:val="16"/>
            </w:rPr>
            <w:t>USE OF STATE SPECIAL EDUCATION FUNDS</w:t>
          </w:r>
        </w:p>
      </w:tc>
    </w:tr>
    <w:tr w:rsidR="00A15E59" w:rsidRPr="00CD22C5" w14:paraId="534F3C46" w14:textId="77777777" w:rsidTr="007A30FA">
      <w:trPr>
        <w:jc w:val="center"/>
      </w:trPr>
      <w:tc>
        <w:tcPr>
          <w:tcW w:w="3348" w:type="dxa"/>
          <w:vAlign w:val="center"/>
        </w:tcPr>
        <w:p w14:paraId="42C2C966" w14:textId="6A0CB9A2"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BF7904" w:rsidRPr="00C76F9D">
            <w:rPr>
              <w:b w:val="0"/>
              <w:color w:val="auto"/>
              <w:sz w:val="16"/>
              <w:szCs w:val="16"/>
            </w:rPr>
            <w:t>08/202</w:t>
          </w:r>
          <w:r w:rsidR="00B81572">
            <w:rPr>
              <w:b w:val="0"/>
              <w:color w:val="auto"/>
              <w:sz w:val="16"/>
              <w:szCs w:val="16"/>
            </w:rPr>
            <w:t>5</w:t>
          </w:r>
          <w:bookmarkStart w:id="0" w:name="_GoBack"/>
          <w:bookmarkEnd w:id="0"/>
        </w:p>
      </w:tc>
      <w:tc>
        <w:tcPr>
          <w:tcW w:w="6228" w:type="dxa"/>
          <w:vAlign w:val="center"/>
        </w:tcPr>
        <w:p w14:paraId="45B53215"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83209D">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3209D">
            <w:rPr>
              <w:b w:val="0"/>
              <w:noProof/>
              <w:sz w:val="16"/>
              <w:szCs w:val="16"/>
            </w:rPr>
            <w:t>1</w:t>
          </w:r>
          <w:r w:rsidRPr="00CD22C5">
            <w:rPr>
              <w:b w:val="0"/>
              <w:sz w:val="16"/>
              <w:szCs w:val="16"/>
            </w:rPr>
            <w:fldChar w:fldCharType="end"/>
          </w:r>
        </w:p>
      </w:tc>
    </w:tr>
  </w:tbl>
  <w:p w14:paraId="21C831CF"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43ED129D" w14:textId="77777777" w:rsidTr="00CD22C5">
      <w:tc>
        <w:tcPr>
          <w:tcW w:w="4338" w:type="dxa"/>
          <w:vAlign w:val="center"/>
        </w:tcPr>
        <w:p w14:paraId="58D96DD6"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28579B49"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739E6838" w14:textId="77777777" w:rsidTr="00CD22C5">
      <w:tc>
        <w:tcPr>
          <w:tcW w:w="4338" w:type="dxa"/>
          <w:vAlign w:val="center"/>
        </w:tcPr>
        <w:p w14:paraId="78EFFBBB"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299927F3"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DF5B9C">
            <w:rPr>
              <w:b w:val="0"/>
              <w:noProof/>
              <w:sz w:val="16"/>
              <w:szCs w:val="16"/>
            </w:rPr>
            <w:t>2</w:t>
          </w:r>
          <w:r w:rsidRPr="00CD22C5">
            <w:rPr>
              <w:b w:val="0"/>
              <w:sz w:val="16"/>
              <w:szCs w:val="16"/>
            </w:rPr>
            <w:fldChar w:fldCharType="end"/>
          </w:r>
        </w:p>
      </w:tc>
    </w:tr>
  </w:tbl>
  <w:p w14:paraId="1F112F78"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2455C" w14:textId="77777777" w:rsidR="005F60F1" w:rsidRDefault="005F60F1">
      <w:pPr>
        <w:spacing w:after="0" w:line="240" w:lineRule="auto"/>
      </w:pPr>
      <w:r>
        <w:separator/>
      </w:r>
    </w:p>
  </w:footnote>
  <w:footnote w:type="continuationSeparator" w:id="0">
    <w:p w14:paraId="4E8F1480" w14:textId="77777777" w:rsidR="005F60F1" w:rsidRDefault="005F6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87A7" w14:textId="77777777" w:rsidR="00BF7904" w:rsidRDefault="00BF7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04AFD9B2"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4CEB9494" w14:textId="2CD1B105" w:rsidR="00A15E59" w:rsidRPr="00A15E59" w:rsidRDefault="00A15E59" w:rsidP="00A15E59">
          <w:pPr>
            <w:pStyle w:val="Header"/>
            <w:spacing w:before="0"/>
            <w:jc w:val="center"/>
            <w:rPr>
              <w:color w:val="0F3966" w:themeColor="accent1"/>
              <w:sz w:val="24"/>
            </w:rPr>
          </w:pPr>
          <w:r w:rsidRPr="00A15E59">
            <w:rPr>
              <w:sz w:val="24"/>
            </w:rPr>
            <w:t xml:space="preserve">OPERATING </w:t>
          </w:r>
          <w:r w:rsidR="001139B7">
            <w:rPr>
              <w:sz w:val="24"/>
            </w:rPr>
            <w:t>PROCEDURES</w:t>
          </w:r>
        </w:p>
      </w:tc>
    </w:tr>
    <w:tr w:rsidR="00A15E59" w:rsidRPr="00A15E59" w14:paraId="38879C05"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693F32AA" w14:textId="77777777" w:rsidR="00727C62" w:rsidRPr="00A15E59" w:rsidRDefault="004E1B1D" w:rsidP="00A15E59">
          <w:pPr>
            <w:pStyle w:val="Header"/>
            <w:spacing w:before="0"/>
            <w:jc w:val="center"/>
            <w:rPr>
              <w:sz w:val="24"/>
            </w:rPr>
          </w:pPr>
          <w:r>
            <w:rPr>
              <w:sz w:val="24"/>
            </w:rPr>
            <w:t>USE OF STATE SPECIAL EDUCATION FUNDS</w:t>
          </w:r>
        </w:p>
      </w:tc>
    </w:tr>
    <w:tr w:rsidR="00A15E59" w:rsidRPr="00A15E59" w14:paraId="371469EA"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457933BF" w14:textId="1CACD1CC" w:rsidR="004F2CED" w:rsidRPr="00A15E59" w:rsidRDefault="004F2CED" w:rsidP="0017202D">
          <w:pPr>
            <w:pStyle w:val="Header"/>
            <w:spacing w:before="0"/>
            <w:jc w:val="left"/>
          </w:pPr>
          <w:r>
            <w:t>Robertson County Special Services</w:t>
          </w:r>
        </w:p>
      </w:tc>
      <w:tc>
        <w:tcPr>
          <w:tcW w:w="1710" w:type="dxa"/>
          <w:vAlign w:val="center"/>
        </w:tcPr>
        <w:p w14:paraId="55C30E9C" w14:textId="1B1FB2A0"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252FF76C"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2370A" w14:textId="77777777" w:rsidR="00BF7904" w:rsidRDefault="00BF7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7470"/>
        </w:tabs>
        <w:ind w:left="747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5607422"/>
    <w:multiLevelType w:val="hybridMultilevel"/>
    <w:tmpl w:val="5C2A44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0725564B"/>
    <w:multiLevelType w:val="hybridMultilevel"/>
    <w:tmpl w:val="97400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9B341A5"/>
    <w:multiLevelType w:val="multilevel"/>
    <w:tmpl w:val="119C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480255"/>
    <w:multiLevelType w:val="hybridMultilevel"/>
    <w:tmpl w:val="DE1A3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1AC1D57"/>
    <w:multiLevelType w:val="multilevel"/>
    <w:tmpl w:val="164CC3C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1CF64003"/>
    <w:multiLevelType w:val="multilevel"/>
    <w:tmpl w:val="C4C2D484"/>
    <w:lvl w:ilvl="0">
      <w:start w:val="1"/>
      <w:numFmt w:val="bullet"/>
      <w:lvlText w:val="o"/>
      <w:lvlJc w:val="left"/>
      <w:pPr>
        <w:tabs>
          <w:tab w:val="num" w:pos="1800"/>
        </w:tabs>
        <w:ind w:left="1800" w:hanging="360"/>
      </w:pPr>
      <w:rPr>
        <w:rFonts w:ascii="Courier New" w:hAnsi="Courier New" w:cs="Courier New" w:hint="default"/>
        <w:color w:val="000000" w:themeColor="text1"/>
        <w:sz w:val="20"/>
      </w:rPr>
    </w:lvl>
    <w:lvl w:ilvl="1">
      <w:start w:val="1"/>
      <w:numFmt w:val="bullet"/>
      <w:lvlText w:val=""/>
      <w:lvlJc w:val="left"/>
      <w:pPr>
        <w:tabs>
          <w:tab w:val="num" w:pos="2520"/>
        </w:tabs>
        <w:ind w:left="2520" w:hanging="360"/>
      </w:pPr>
      <w:rPr>
        <w:rFonts w:ascii="Wingdings" w:hAnsi="Wingdings"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34B94F82"/>
    <w:multiLevelType w:val="hybridMultilevel"/>
    <w:tmpl w:val="344A8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2977C6"/>
    <w:multiLevelType w:val="multilevel"/>
    <w:tmpl w:val="7A0A76A4"/>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8" w15:restartNumberingAfterBreak="0">
    <w:nsid w:val="43B66D65"/>
    <w:multiLevelType w:val="multilevel"/>
    <w:tmpl w:val="077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C5D82"/>
    <w:multiLevelType w:val="hybridMultilevel"/>
    <w:tmpl w:val="9F54CEFA"/>
    <w:lvl w:ilvl="0" w:tplc="04090001">
      <w:start w:val="1"/>
      <w:numFmt w:val="bullet"/>
      <w:lvlText w:val=""/>
      <w:lvlJc w:val="left"/>
      <w:pPr>
        <w:ind w:left="720" w:hanging="360"/>
      </w:pPr>
      <w:rPr>
        <w:rFonts w:ascii="Symbol" w:hAnsi="Symbol" w:hint="default"/>
      </w:rPr>
    </w:lvl>
    <w:lvl w:ilvl="1" w:tplc="CE6EF89C">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F1472"/>
    <w:multiLevelType w:val="multilevel"/>
    <w:tmpl w:val="1E5270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111DE4"/>
    <w:multiLevelType w:val="hybridMultilevel"/>
    <w:tmpl w:val="C98ED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E21547"/>
    <w:multiLevelType w:val="multilevel"/>
    <w:tmpl w:val="EBF2685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3" w15:restartNumberingAfterBreak="0">
    <w:nsid w:val="6EA75235"/>
    <w:multiLevelType w:val="multilevel"/>
    <w:tmpl w:val="00D65C3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705EAA"/>
    <w:multiLevelType w:val="hybridMultilevel"/>
    <w:tmpl w:val="DE5C04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BA208E"/>
    <w:multiLevelType w:val="hybridMultilevel"/>
    <w:tmpl w:val="33A2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7E5DD1"/>
    <w:multiLevelType w:val="hybridMultilevel"/>
    <w:tmpl w:val="E716BE0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3"/>
  </w:num>
  <w:num w:numId="14">
    <w:abstractNumId w:val="26"/>
  </w:num>
  <w:num w:numId="15">
    <w:abstractNumId w:val="27"/>
  </w:num>
  <w:num w:numId="16">
    <w:abstractNumId w:val="12"/>
  </w:num>
  <w:num w:numId="17">
    <w:abstractNumId w:val="19"/>
  </w:num>
  <w:num w:numId="18">
    <w:abstractNumId w:val="11"/>
  </w:num>
  <w:num w:numId="19">
    <w:abstractNumId w:val="1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3"/>
  </w:num>
  <w:num w:numId="25">
    <w:abstractNumId w:val="15"/>
  </w:num>
  <w:num w:numId="26">
    <w:abstractNumId w:val="21"/>
  </w:num>
  <w:num w:numId="27">
    <w:abstractNumId w:val="9"/>
  </w:num>
  <w:num w:numId="28">
    <w:abstractNumId w:val="24"/>
  </w:num>
  <w:num w:numId="29">
    <w:abstractNumId w:val="25"/>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61675"/>
    <w:rsid w:val="000C084D"/>
    <w:rsid w:val="000C551A"/>
    <w:rsid w:val="000F4C3A"/>
    <w:rsid w:val="000F6A72"/>
    <w:rsid w:val="0010401E"/>
    <w:rsid w:val="001139B7"/>
    <w:rsid w:val="00140EB8"/>
    <w:rsid w:val="0017202D"/>
    <w:rsid w:val="001B1359"/>
    <w:rsid w:val="001E0A2A"/>
    <w:rsid w:val="001E4ECB"/>
    <w:rsid w:val="002045E8"/>
    <w:rsid w:val="0023674D"/>
    <w:rsid w:val="00241FD8"/>
    <w:rsid w:val="00271990"/>
    <w:rsid w:val="00287E6A"/>
    <w:rsid w:val="00335F7A"/>
    <w:rsid w:val="00371D41"/>
    <w:rsid w:val="003920EE"/>
    <w:rsid w:val="003A230F"/>
    <w:rsid w:val="003C1E15"/>
    <w:rsid w:val="004259F2"/>
    <w:rsid w:val="00426C23"/>
    <w:rsid w:val="00452D0C"/>
    <w:rsid w:val="00462709"/>
    <w:rsid w:val="004C1555"/>
    <w:rsid w:val="004D1EF6"/>
    <w:rsid w:val="004E1B1D"/>
    <w:rsid w:val="004E2A26"/>
    <w:rsid w:val="004F27C1"/>
    <w:rsid w:val="004F2CED"/>
    <w:rsid w:val="004F452C"/>
    <w:rsid w:val="00502A0D"/>
    <w:rsid w:val="0050719C"/>
    <w:rsid w:val="0054660B"/>
    <w:rsid w:val="00582BEE"/>
    <w:rsid w:val="005F60F1"/>
    <w:rsid w:val="00674F1E"/>
    <w:rsid w:val="006E3F0A"/>
    <w:rsid w:val="00727C62"/>
    <w:rsid w:val="007A30FA"/>
    <w:rsid w:val="0083209D"/>
    <w:rsid w:val="00850B01"/>
    <w:rsid w:val="00857187"/>
    <w:rsid w:val="00884D94"/>
    <w:rsid w:val="00892F50"/>
    <w:rsid w:val="008D54FB"/>
    <w:rsid w:val="008E1425"/>
    <w:rsid w:val="009415A3"/>
    <w:rsid w:val="00961ED6"/>
    <w:rsid w:val="00962988"/>
    <w:rsid w:val="00976E6E"/>
    <w:rsid w:val="00986BA6"/>
    <w:rsid w:val="00A15E59"/>
    <w:rsid w:val="00A423EE"/>
    <w:rsid w:val="00A471FF"/>
    <w:rsid w:val="00A9667A"/>
    <w:rsid w:val="00B600D1"/>
    <w:rsid w:val="00B8126E"/>
    <w:rsid w:val="00B81572"/>
    <w:rsid w:val="00BB335B"/>
    <w:rsid w:val="00BF06FA"/>
    <w:rsid w:val="00BF6CC4"/>
    <w:rsid w:val="00BF7904"/>
    <w:rsid w:val="00C248CE"/>
    <w:rsid w:val="00C24BAB"/>
    <w:rsid w:val="00C2558A"/>
    <w:rsid w:val="00C31D10"/>
    <w:rsid w:val="00C749F6"/>
    <w:rsid w:val="00C76F9D"/>
    <w:rsid w:val="00C77BA4"/>
    <w:rsid w:val="00C85500"/>
    <w:rsid w:val="00CA2E6E"/>
    <w:rsid w:val="00CD22C5"/>
    <w:rsid w:val="00CD5CA8"/>
    <w:rsid w:val="00CE5EEE"/>
    <w:rsid w:val="00D45E93"/>
    <w:rsid w:val="00D54A17"/>
    <w:rsid w:val="00DB231F"/>
    <w:rsid w:val="00DF5B9C"/>
    <w:rsid w:val="00E00450"/>
    <w:rsid w:val="00E009AB"/>
    <w:rsid w:val="00E160DB"/>
    <w:rsid w:val="00E164D4"/>
    <w:rsid w:val="00E21132"/>
    <w:rsid w:val="00E40244"/>
    <w:rsid w:val="00E54678"/>
    <w:rsid w:val="00EC18F2"/>
    <w:rsid w:val="00EC7B0E"/>
    <w:rsid w:val="00ED5C01"/>
    <w:rsid w:val="00EE1684"/>
    <w:rsid w:val="00EF665C"/>
    <w:rsid w:val="00F02383"/>
    <w:rsid w:val="00F04CEA"/>
    <w:rsid w:val="00F306F1"/>
    <w:rsid w:val="00F90F60"/>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53088"/>
  <w15:docId w15:val="{6A288267-A645-48F2-A1AD-95562B1D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paragraph" w:styleId="Heading4">
    <w:name w:val="heading 4"/>
    <w:basedOn w:val="Normal"/>
    <w:next w:val="Normal"/>
    <w:link w:val="Heading4Char"/>
    <w:uiPriority w:val="9"/>
    <w:semiHidden/>
    <w:unhideWhenUsed/>
    <w:qFormat/>
    <w:rsid w:val="00C31D10"/>
    <w:pPr>
      <w:keepNext/>
      <w:keepLines/>
      <w:spacing w:before="40" w:after="0"/>
      <w:outlineLvl w:val="3"/>
    </w:pPr>
    <w:rPr>
      <w:rFonts w:asciiTheme="majorHAnsi" w:eastAsiaTheme="majorEastAsia" w:hAnsiTheme="majorHAnsi" w:cstheme="majorBidi"/>
      <w:i/>
      <w:iCs/>
      <w:color w:val="0B2A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aliases w:val="Numbered List Paragraph"/>
    <w:basedOn w:val="Normal"/>
    <w:link w:val="ListParagraphChar"/>
    <w:uiPriority w:val="34"/>
    <w:qFormat/>
    <w:rsid w:val="00EC7B0E"/>
    <w:pPr>
      <w:ind w:left="720"/>
      <w:contextualSpacing/>
    </w:pPr>
  </w:style>
  <w:style w:type="character" w:customStyle="1" w:styleId="Heading4Char">
    <w:name w:val="Heading 4 Char"/>
    <w:basedOn w:val="DefaultParagraphFont"/>
    <w:link w:val="Heading4"/>
    <w:uiPriority w:val="9"/>
    <w:semiHidden/>
    <w:rsid w:val="00C31D10"/>
    <w:rPr>
      <w:rFonts w:asciiTheme="majorHAnsi" w:eastAsiaTheme="majorEastAsia" w:hAnsiTheme="majorHAnsi" w:cstheme="majorBidi"/>
      <w:i/>
      <w:iCs/>
      <w:color w:val="0B2A4C" w:themeColor="accent1" w:themeShade="BF"/>
      <w:sz w:val="20"/>
    </w:rPr>
  </w:style>
  <w:style w:type="paragraph" w:styleId="NormalWeb">
    <w:name w:val="Normal (Web)"/>
    <w:basedOn w:val="Normal"/>
    <w:uiPriority w:val="99"/>
    <w:unhideWhenUsed/>
    <w:rsid w:val="00C31D10"/>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ListParagraphChar">
    <w:name w:val="List Paragraph Char"/>
    <w:aliases w:val="Numbered List Paragraph Char"/>
    <w:link w:val="ListParagraph"/>
    <w:uiPriority w:val="34"/>
    <w:locked/>
    <w:rsid w:val="00B8126E"/>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162148">
      <w:bodyDiv w:val="1"/>
      <w:marLeft w:val="0"/>
      <w:marRight w:val="0"/>
      <w:marTop w:val="0"/>
      <w:marBottom w:val="0"/>
      <w:divBdr>
        <w:top w:val="none" w:sz="0" w:space="0" w:color="auto"/>
        <w:left w:val="none" w:sz="0" w:space="0" w:color="auto"/>
        <w:bottom w:val="none" w:sz="0" w:space="0" w:color="auto"/>
        <w:right w:val="none" w:sz="0" w:space="0" w:color="auto"/>
      </w:divBdr>
    </w:div>
    <w:div w:id="1064795659">
      <w:bodyDiv w:val="1"/>
      <w:marLeft w:val="0"/>
      <w:marRight w:val="0"/>
      <w:marTop w:val="0"/>
      <w:marBottom w:val="0"/>
      <w:divBdr>
        <w:top w:val="none" w:sz="0" w:space="0" w:color="auto"/>
        <w:left w:val="none" w:sz="0" w:space="0" w:color="auto"/>
        <w:bottom w:val="none" w:sz="0" w:space="0" w:color="auto"/>
        <w:right w:val="none" w:sz="0" w:space="0" w:color="auto"/>
      </w:divBdr>
    </w:div>
    <w:div w:id="1286742252">
      <w:bodyDiv w:val="1"/>
      <w:marLeft w:val="0"/>
      <w:marRight w:val="0"/>
      <w:marTop w:val="0"/>
      <w:marBottom w:val="0"/>
      <w:divBdr>
        <w:top w:val="none" w:sz="0" w:space="0" w:color="auto"/>
        <w:left w:val="none" w:sz="0" w:space="0" w:color="auto"/>
        <w:bottom w:val="none" w:sz="0" w:space="0" w:color="auto"/>
        <w:right w:val="none" w:sz="0" w:space="0" w:color="auto"/>
      </w:divBdr>
    </w:div>
    <w:div w:id="1321537288">
      <w:bodyDiv w:val="1"/>
      <w:marLeft w:val="0"/>
      <w:marRight w:val="0"/>
      <w:marTop w:val="0"/>
      <w:marBottom w:val="0"/>
      <w:divBdr>
        <w:top w:val="none" w:sz="0" w:space="0" w:color="auto"/>
        <w:left w:val="none" w:sz="0" w:space="0" w:color="auto"/>
        <w:bottom w:val="none" w:sz="0" w:space="0" w:color="auto"/>
        <w:right w:val="none" w:sz="0" w:space="0" w:color="auto"/>
      </w:divBdr>
    </w:div>
    <w:div w:id="1464346473">
      <w:bodyDiv w:val="1"/>
      <w:marLeft w:val="0"/>
      <w:marRight w:val="0"/>
      <w:marTop w:val="0"/>
      <w:marBottom w:val="0"/>
      <w:divBdr>
        <w:top w:val="none" w:sz="0" w:space="0" w:color="auto"/>
        <w:left w:val="none" w:sz="0" w:space="0" w:color="auto"/>
        <w:bottom w:val="none" w:sz="0" w:space="0" w:color="auto"/>
        <w:right w:val="none" w:sz="0" w:space="0" w:color="auto"/>
      </w:divBdr>
    </w:div>
    <w:div w:id="18139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72&amp;DT=G&amp;LID=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amework.esc18.net/display/Webforms/LandingPage.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w.esc18.net/FrameworkAuthoringSystem/Documents/AdditionalResources/2018-2019%20SPED%20Consolidated%20Program%20Guideline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a.texas.gov/Finance_and_Grants/Grants/Office_for_Grants_and_Federal_Fiscal_Complian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a.texas.gov/Finance_and_Grants/Financial_Accountability/Financial__Accountability_System_Resource_Guid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79E546A-7B57-49F0-8FDA-5A1E4EE3A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26</cp:revision>
  <cp:lastPrinted>2016-03-01T22:06:00Z</cp:lastPrinted>
  <dcterms:created xsi:type="dcterms:W3CDTF">2021-11-01T16:51:00Z</dcterms:created>
  <dcterms:modified xsi:type="dcterms:W3CDTF">2025-10-27T15:10:00Z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